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6.xml" ContentType="application/vnd.openxmlformats-officedocument.themeOverride+xml"/>
  <Override PartName="/word/charts/chart19.xml" ContentType="application/vnd.openxmlformats-officedocument.drawingml.chart+xml"/>
  <Override PartName="/word/theme/themeOverride7.xml" ContentType="application/vnd.openxmlformats-officedocument.themeOverride+xml"/>
  <Override PartName="/word/charts/chart20.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F090F" w14:textId="2EB80C3A" w:rsidR="00D430A7" w:rsidRDefault="00452538" w:rsidP="00C52396">
      <w:pPr>
        <w:rPr>
          <w:rFonts w:ascii="Arial" w:hAnsi="Arial" w:cs="Arial"/>
        </w:rPr>
      </w:pPr>
      <w:r w:rsidRPr="002965EC">
        <w:rPr>
          <w:rFonts w:ascii="Arial" w:hAnsi="Arial" w:cs="Arial"/>
          <w:noProof/>
          <w:lang w:val="en-ZA" w:eastAsia="en-ZA"/>
        </w:rPr>
        <w:drawing>
          <wp:inline distT="0" distB="0" distL="0" distR="0" wp14:anchorId="478D26DF" wp14:editId="4408F314">
            <wp:extent cx="2466975" cy="955464"/>
            <wp:effectExtent l="0" t="0" r="0" b="0"/>
            <wp:docPr id="2" name="Picture 2" descr="C:\Users\Ranji.Reddy\Desktop\Wom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ji.Reddy\Desktop\Women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8272" cy="955966"/>
                    </a:xfrm>
                    <a:prstGeom prst="rect">
                      <a:avLst/>
                    </a:prstGeom>
                    <a:noFill/>
                    <a:ln>
                      <a:noFill/>
                    </a:ln>
                  </pic:spPr>
                </pic:pic>
              </a:graphicData>
            </a:graphic>
          </wp:inline>
        </w:drawing>
      </w:r>
      <w:r w:rsidR="00D430A7">
        <w:rPr>
          <w:rFonts w:ascii="Arial" w:hAnsi="Arial" w:cs="Arial"/>
        </w:rPr>
        <w:t xml:space="preserve">                                                      </w:t>
      </w:r>
      <w:r w:rsidR="00D430A7">
        <w:rPr>
          <w:rFonts w:ascii="Arial" w:hAnsi="Arial" w:cs="Arial"/>
          <w:noProof/>
          <w:lang w:val="en-ZA" w:eastAsia="en-ZA"/>
        </w:rPr>
        <w:drawing>
          <wp:inline distT="0" distB="0" distL="0" distR="0" wp14:anchorId="7CFE759E" wp14:editId="2635BD54">
            <wp:extent cx="942714" cy="828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5903" cy="831478"/>
                    </a:xfrm>
                    <a:prstGeom prst="rect">
                      <a:avLst/>
                    </a:prstGeom>
                  </pic:spPr>
                </pic:pic>
              </a:graphicData>
            </a:graphic>
          </wp:inline>
        </w:drawing>
      </w:r>
    </w:p>
    <w:p w14:paraId="51D80741" w14:textId="77777777" w:rsidR="00D430A7" w:rsidRDefault="00D430A7" w:rsidP="00C52396">
      <w:pPr>
        <w:rPr>
          <w:rFonts w:ascii="Arial" w:hAnsi="Arial" w:cs="Arial"/>
        </w:rPr>
      </w:pPr>
    </w:p>
    <w:p w14:paraId="6AD89601" w14:textId="2B1B4FFB" w:rsidR="006C432D" w:rsidRPr="002965EC" w:rsidRDefault="00C52396" w:rsidP="00C52396">
      <w:pPr>
        <w:rPr>
          <w:rFonts w:ascii="Arial" w:hAnsi="Arial" w:cs="Arial"/>
        </w:rPr>
      </w:pPr>
      <w:r w:rsidRPr="002965EC">
        <w:rPr>
          <w:rFonts w:ascii="Arial" w:eastAsia="Calibri" w:hAnsi="Arial" w:cs="Arial"/>
          <w:b/>
          <w:noProof/>
          <w:lang w:val="en-ZA" w:eastAsia="en-ZA"/>
        </w:rPr>
        <w:drawing>
          <wp:inline distT="0" distB="0" distL="0" distR="0" wp14:anchorId="172B78E7" wp14:editId="79C9F83A">
            <wp:extent cx="5838825" cy="1057275"/>
            <wp:effectExtent l="0" t="0" r="9525" b="9525"/>
            <wp:docPr id="1" name="Picture 1" descr="C:\Users\CEO\Pictures\CSW63 WEB Banner_EN_960x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O\Pictures\CSW63 WEB Banner_EN_960x17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p w14:paraId="11FF9AFA" w14:textId="77777777" w:rsidR="00C52396" w:rsidRPr="002965EC" w:rsidRDefault="00C52396" w:rsidP="00C52396">
      <w:pPr>
        <w:shd w:val="clear" w:color="auto" w:fill="92D050"/>
        <w:spacing w:after="0"/>
        <w:jc w:val="center"/>
        <w:rPr>
          <w:rFonts w:ascii="Arial" w:hAnsi="Arial" w:cs="Arial"/>
          <w:b/>
          <w:sz w:val="48"/>
          <w:szCs w:val="48"/>
        </w:rPr>
      </w:pPr>
    </w:p>
    <w:p w14:paraId="15E930FB" w14:textId="77777777" w:rsidR="0024411F" w:rsidRPr="00D430A7" w:rsidRDefault="00C52396" w:rsidP="00C52396">
      <w:pPr>
        <w:shd w:val="clear" w:color="auto" w:fill="92D050"/>
        <w:spacing w:after="0"/>
        <w:jc w:val="center"/>
        <w:rPr>
          <w:rFonts w:ascii="Arial" w:hAnsi="Arial" w:cs="Arial"/>
          <w:b/>
          <w:color w:val="FFFFFF" w:themeColor="background1"/>
          <w:sz w:val="48"/>
          <w:szCs w:val="48"/>
        </w:rPr>
      </w:pPr>
      <w:r w:rsidRPr="00D430A7">
        <w:rPr>
          <w:rFonts w:ascii="Arial" w:hAnsi="Arial" w:cs="Arial"/>
          <w:b/>
          <w:color w:val="FFFFFF" w:themeColor="background1"/>
          <w:sz w:val="48"/>
          <w:szCs w:val="48"/>
        </w:rPr>
        <w:t>THE STATUS OF</w:t>
      </w:r>
    </w:p>
    <w:p w14:paraId="2E08BD97" w14:textId="77777777" w:rsidR="0024411F" w:rsidRPr="00D430A7" w:rsidRDefault="00452538" w:rsidP="0024411F">
      <w:pPr>
        <w:shd w:val="clear" w:color="auto" w:fill="92D050"/>
        <w:spacing w:after="0"/>
        <w:jc w:val="center"/>
        <w:rPr>
          <w:rFonts w:ascii="Arial" w:hAnsi="Arial" w:cs="Arial"/>
          <w:b/>
          <w:color w:val="FFFFFF" w:themeColor="background1"/>
          <w:sz w:val="48"/>
          <w:szCs w:val="48"/>
        </w:rPr>
      </w:pPr>
      <w:r w:rsidRPr="00D430A7">
        <w:rPr>
          <w:rFonts w:ascii="Arial" w:hAnsi="Arial" w:cs="Arial"/>
          <w:b/>
          <w:color w:val="FFFFFF" w:themeColor="background1"/>
          <w:sz w:val="48"/>
          <w:szCs w:val="48"/>
        </w:rPr>
        <w:t xml:space="preserve">SOCIAL PROTECTION SYSTEMS, </w:t>
      </w:r>
    </w:p>
    <w:p w14:paraId="205E0A5F" w14:textId="77777777" w:rsidR="0024411F" w:rsidRPr="00D430A7" w:rsidRDefault="00452538" w:rsidP="0024411F">
      <w:pPr>
        <w:shd w:val="clear" w:color="auto" w:fill="92D050"/>
        <w:spacing w:after="0"/>
        <w:jc w:val="center"/>
        <w:rPr>
          <w:rFonts w:ascii="Arial" w:hAnsi="Arial" w:cs="Arial"/>
          <w:b/>
          <w:color w:val="FFFFFF" w:themeColor="background1"/>
          <w:sz w:val="48"/>
          <w:szCs w:val="48"/>
        </w:rPr>
      </w:pPr>
      <w:r w:rsidRPr="00D430A7">
        <w:rPr>
          <w:rFonts w:ascii="Arial" w:hAnsi="Arial" w:cs="Arial"/>
          <w:b/>
          <w:color w:val="FFFFFF" w:themeColor="background1"/>
          <w:sz w:val="48"/>
          <w:szCs w:val="48"/>
        </w:rPr>
        <w:t xml:space="preserve">ACCESS TO PUBLIC SERVICES AND </w:t>
      </w:r>
    </w:p>
    <w:p w14:paraId="52C0A10C" w14:textId="77777777" w:rsidR="0024411F" w:rsidRPr="00D430A7" w:rsidRDefault="00452538" w:rsidP="00D00FBB">
      <w:pPr>
        <w:shd w:val="clear" w:color="auto" w:fill="92D050"/>
        <w:tabs>
          <w:tab w:val="left" w:pos="1800"/>
          <w:tab w:val="center" w:pos="4680"/>
        </w:tabs>
        <w:spacing w:after="0"/>
        <w:jc w:val="center"/>
        <w:rPr>
          <w:rFonts w:ascii="Arial" w:hAnsi="Arial" w:cs="Arial"/>
          <w:b/>
          <w:color w:val="FFFFFF" w:themeColor="background1"/>
          <w:sz w:val="48"/>
          <w:szCs w:val="48"/>
        </w:rPr>
      </w:pPr>
      <w:r w:rsidRPr="00D430A7">
        <w:rPr>
          <w:rFonts w:ascii="Arial" w:hAnsi="Arial" w:cs="Arial"/>
          <w:b/>
          <w:color w:val="FFFFFF" w:themeColor="background1"/>
          <w:sz w:val="48"/>
          <w:szCs w:val="48"/>
        </w:rPr>
        <w:t>SUSTAINABLE INFRASTRUCTURE</w:t>
      </w:r>
    </w:p>
    <w:p w14:paraId="42EF2E96" w14:textId="77777777" w:rsidR="006C432D" w:rsidRPr="00D430A7" w:rsidRDefault="00452538" w:rsidP="00CD2476">
      <w:pPr>
        <w:shd w:val="clear" w:color="auto" w:fill="92D050"/>
        <w:spacing w:after="0"/>
        <w:jc w:val="center"/>
        <w:rPr>
          <w:rFonts w:ascii="Arial" w:hAnsi="Arial" w:cs="Arial"/>
          <w:b/>
          <w:color w:val="FFFFFF" w:themeColor="background1"/>
          <w:sz w:val="48"/>
          <w:szCs w:val="48"/>
        </w:rPr>
      </w:pPr>
      <w:r w:rsidRPr="00D430A7">
        <w:rPr>
          <w:rFonts w:ascii="Arial" w:hAnsi="Arial" w:cs="Arial"/>
          <w:b/>
          <w:color w:val="FFFFFF" w:themeColor="background1"/>
          <w:sz w:val="48"/>
          <w:szCs w:val="48"/>
        </w:rPr>
        <w:t>FOR GENDER EQUALITY AND THE EMPOWERMENT OF WOMEN AND GIRLS</w:t>
      </w:r>
      <w:r w:rsidR="00C52396" w:rsidRPr="00D430A7">
        <w:rPr>
          <w:rFonts w:ascii="Arial" w:hAnsi="Arial" w:cs="Arial"/>
          <w:b/>
          <w:color w:val="FFFFFF" w:themeColor="background1"/>
          <w:sz w:val="48"/>
          <w:szCs w:val="48"/>
        </w:rPr>
        <w:t xml:space="preserve"> IN SOUTH AFRICA </w:t>
      </w:r>
    </w:p>
    <w:p w14:paraId="6CDB198A" w14:textId="77777777" w:rsidR="00CD2476" w:rsidRPr="002965EC" w:rsidRDefault="00CD2476" w:rsidP="0024411F">
      <w:pPr>
        <w:shd w:val="clear" w:color="auto" w:fill="92D050"/>
        <w:spacing w:after="0"/>
        <w:jc w:val="center"/>
        <w:rPr>
          <w:rFonts w:ascii="Arial" w:hAnsi="Arial" w:cs="Arial"/>
          <w:b/>
          <w:sz w:val="40"/>
          <w:szCs w:val="40"/>
        </w:rPr>
      </w:pPr>
    </w:p>
    <w:p w14:paraId="2C6FB64D" w14:textId="77777777" w:rsidR="00CD2476" w:rsidRPr="002965EC" w:rsidRDefault="00CD2476" w:rsidP="00CD2476">
      <w:pPr>
        <w:shd w:val="clear" w:color="auto" w:fill="92D050"/>
        <w:rPr>
          <w:rFonts w:ascii="Arial" w:hAnsi="Arial" w:cs="Arial"/>
          <w:b/>
          <w:sz w:val="40"/>
          <w:szCs w:val="40"/>
        </w:rPr>
      </w:pPr>
    </w:p>
    <w:p w14:paraId="76AD10E2" w14:textId="77777777" w:rsidR="00D430A7" w:rsidRDefault="00D430A7" w:rsidP="00CD2476">
      <w:pPr>
        <w:jc w:val="center"/>
        <w:rPr>
          <w:rFonts w:ascii="Arial" w:hAnsi="Arial" w:cs="Arial"/>
          <w:b/>
          <w:sz w:val="40"/>
          <w:szCs w:val="40"/>
        </w:rPr>
      </w:pPr>
    </w:p>
    <w:p w14:paraId="54B1627E" w14:textId="77777777" w:rsidR="00CD2476" w:rsidRPr="002965EC" w:rsidRDefault="00C52396" w:rsidP="00CD2476">
      <w:pPr>
        <w:jc w:val="center"/>
        <w:rPr>
          <w:rFonts w:ascii="Arial" w:hAnsi="Arial" w:cs="Arial"/>
          <w:b/>
          <w:szCs w:val="24"/>
        </w:rPr>
      </w:pPr>
      <w:r w:rsidRPr="002965EC">
        <w:rPr>
          <w:rFonts w:ascii="Arial" w:hAnsi="Arial" w:cs="Arial"/>
          <w:b/>
          <w:sz w:val="40"/>
          <w:szCs w:val="40"/>
        </w:rPr>
        <w:t xml:space="preserve">COUNTRY REPORT FOR </w:t>
      </w:r>
      <w:r w:rsidR="00CD2476" w:rsidRPr="002965EC">
        <w:rPr>
          <w:rFonts w:ascii="Arial" w:hAnsi="Arial" w:cs="Arial"/>
          <w:b/>
          <w:sz w:val="40"/>
          <w:szCs w:val="40"/>
        </w:rPr>
        <w:t>THE 63</w:t>
      </w:r>
      <w:r w:rsidR="00CD2476" w:rsidRPr="002965EC">
        <w:rPr>
          <w:rFonts w:ascii="Arial" w:hAnsi="Arial" w:cs="Arial"/>
          <w:b/>
          <w:sz w:val="40"/>
          <w:szCs w:val="40"/>
          <w:vertAlign w:val="superscript"/>
        </w:rPr>
        <w:t>RD</w:t>
      </w:r>
      <w:r w:rsidR="00CD2476" w:rsidRPr="002965EC">
        <w:rPr>
          <w:rFonts w:ascii="Arial" w:hAnsi="Arial" w:cs="Arial"/>
          <w:b/>
          <w:sz w:val="40"/>
          <w:szCs w:val="40"/>
        </w:rPr>
        <w:t xml:space="preserve"> SESSION OF THE UNITED NATIONS COMMISSION ON THE STATUS OF WOMEN, </w:t>
      </w:r>
      <w:r w:rsidRPr="002965EC">
        <w:rPr>
          <w:rFonts w:ascii="Arial" w:hAnsi="Arial" w:cs="Arial"/>
          <w:b/>
          <w:sz w:val="40"/>
          <w:szCs w:val="40"/>
        </w:rPr>
        <w:t xml:space="preserve">11-22 MARCH, </w:t>
      </w:r>
      <w:r w:rsidR="00CD2476" w:rsidRPr="002965EC">
        <w:rPr>
          <w:rFonts w:ascii="Arial" w:hAnsi="Arial" w:cs="Arial"/>
          <w:b/>
          <w:sz w:val="40"/>
          <w:szCs w:val="40"/>
        </w:rPr>
        <w:t>2019</w:t>
      </w:r>
    </w:p>
    <w:p w14:paraId="341C504B" w14:textId="77777777" w:rsidR="00444EB3" w:rsidRPr="002965EC" w:rsidRDefault="00444EB3" w:rsidP="003D5B7E">
      <w:pPr>
        <w:rPr>
          <w:rFonts w:ascii="Arial" w:hAnsi="Arial" w:cs="Arial"/>
          <w:b/>
          <w:szCs w:val="24"/>
        </w:rPr>
      </w:pPr>
    </w:p>
    <w:p w14:paraId="3D4122E4" w14:textId="77777777" w:rsidR="00444EB3" w:rsidRPr="002965EC" w:rsidRDefault="00444EB3" w:rsidP="003D5B7E">
      <w:pPr>
        <w:rPr>
          <w:rFonts w:ascii="Arial" w:hAnsi="Arial" w:cs="Arial"/>
          <w:b/>
          <w:szCs w:val="24"/>
        </w:rPr>
      </w:pPr>
      <w:r w:rsidRPr="002965EC">
        <w:rPr>
          <w:rFonts w:ascii="Arial" w:hAnsi="Arial" w:cs="Arial"/>
          <w:b/>
          <w:noProof/>
          <w:sz w:val="40"/>
          <w:szCs w:val="40"/>
          <w:lang w:val="en-ZA" w:eastAsia="en-ZA"/>
        </w:rPr>
        <w:drawing>
          <wp:inline distT="0" distB="0" distL="0" distR="0" wp14:anchorId="5444BFC1" wp14:editId="67F14577">
            <wp:extent cx="5941651" cy="4829175"/>
            <wp:effectExtent l="0" t="0" r="2540" b="0"/>
            <wp:docPr id="12" name="Picture 5" descr="C:\Users\ranji.reddy.DWCPD\Desktop\csw pictures for the Report\CSW Sampled pics for Report\IMG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ji.reddy.DWCPD\Desktop\csw pictures for the Report\CSW Sampled pics for Report\IMG_0294.JPG"/>
                    <pic:cNvPicPr>
                      <a:picLocks noChangeAspect="1" noChangeArrowheads="1"/>
                    </pic:cNvPicPr>
                  </pic:nvPicPr>
                  <pic:blipFill>
                    <a:blip r:embed="rId12" cstate="print"/>
                    <a:srcRect/>
                    <a:stretch>
                      <a:fillRect/>
                    </a:stretch>
                  </pic:blipFill>
                  <pic:spPr bwMode="auto">
                    <a:xfrm>
                      <a:off x="0" y="0"/>
                      <a:ext cx="5943600" cy="4830759"/>
                    </a:xfrm>
                    <a:prstGeom prst="rect">
                      <a:avLst/>
                    </a:prstGeom>
                    <a:noFill/>
                    <a:ln w="9525">
                      <a:noFill/>
                      <a:miter lim="800000"/>
                      <a:headEnd/>
                      <a:tailEnd/>
                    </a:ln>
                  </pic:spPr>
                </pic:pic>
              </a:graphicData>
            </a:graphic>
          </wp:inline>
        </w:drawing>
      </w:r>
    </w:p>
    <w:p w14:paraId="06E44FE9" w14:textId="77777777" w:rsidR="008E58D1" w:rsidRPr="002965EC" w:rsidRDefault="00444EB3" w:rsidP="003D5B7E">
      <w:pPr>
        <w:rPr>
          <w:rFonts w:ascii="Arial" w:hAnsi="Arial" w:cs="Arial"/>
          <w:b/>
          <w:sz w:val="18"/>
          <w:szCs w:val="18"/>
        </w:rPr>
      </w:pPr>
      <w:r w:rsidRPr="002965EC">
        <w:rPr>
          <w:rFonts w:ascii="Arial" w:hAnsi="Arial" w:cs="Arial"/>
          <w:b/>
          <w:sz w:val="18"/>
          <w:szCs w:val="18"/>
        </w:rPr>
        <w:t>Minist</w:t>
      </w:r>
      <w:r w:rsidR="00B92A26" w:rsidRPr="002965EC">
        <w:rPr>
          <w:rFonts w:ascii="Arial" w:hAnsi="Arial" w:cs="Arial"/>
          <w:b/>
          <w:sz w:val="18"/>
          <w:szCs w:val="18"/>
        </w:rPr>
        <w:t xml:space="preserve">er Lulu </w:t>
      </w:r>
      <w:proofErr w:type="spellStart"/>
      <w:r w:rsidR="00B92A26" w:rsidRPr="002965EC">
        <w:rPr>
          <w:rFonts w:ascii="Arial" w:hAnsi="Arial" w:cs="Arial"/>
          <w:b/>
          <w:sz w:val="18"/>
          <w:szCs w:val="18"/>
        </w:rPr>
        <w:t>Xingwana</w:t>
      </w:r>
      <w:proofErr w:type="spellEnd"/>
      <w:r w:rsidR="00B92A26" w:rsidRPr="002965EC">
        <w:rPr>
          <w:rFonts w:ascii="Arial" w:hAnsi="Arial" w:cs="Arial"/>
          <w:b/>
          <w:sz w:val="18"/>
          <w:szCs w:val="18"/>
        </w:rPr>
        <w:t xml:space="preserve">, Minister </w:t>
      </w:r>
      <w:proofErr w:type="spellStart"/>
      <w:r w:rsidR="00B92A26" w:rsidRPr="002965EC">
        <w:rPr>
          <w:rFonts w:ascii="Arial" w:hAnsi="Arial" w:cs="Arial"/>
          <w:b/>
          <w:sz w:val="18"/>
          <w:szCs w:val="18"/>
        </w:rPr>
        <w:t>Batha</w:t>
      </w:r>
      <w:r w:rsidRPr="002965EC">
        <w:rPr>
          <w:rFonts w:ascii="Arial" w:hAnsi="Arial" w:cs="Arial"/>
          <w:b/>
          <w:sz w:val="18"/>
          <w:szCs w:val="18"/>
        </w:rPr>
        <w:t>bile</w:t>
      </w:r>
      <w:proofErr w:type="spellEnd"/>
      <w:r w:rsidRPr="002965EC">
        <w:rPr>
          <w:rFonts w:ascii="Arial" w:hAnsi="Arial" w:cs="Arial"/>
          <w:b/>
          <w:sz w:val="18"/>
          <w:szCs w:val="18"/>
        </w:rPr>
        <w:t xml:space="preserve"> </w:t>
      </w:r>
      <w:proofErr w:type="spellStart"/>
      <w:r w:rsidRPr="002965EC">
        <w:rPr>
          <w:rFonts w:ascii="Arial" w:hAnsi="Arial" w:cs="Arial"/>
          <w:b/>
          <w:sz w:val="18"/>
          <w:szCs w:val="18"/>
        </w:rPr>
        <w:t>Dlamini</w:t>
      </w:r>
      <w:proofErr w:type="spellEnd"/>
      <w:r w:rsidRPr="002965EC">
        <w:rPr>
          <w:rFonts w:ascii="Arial" w:hAnsi="Arial" w:cs="Arial"/>
          <w:b/>
          <w:sz w:val="18"/>
          <w:szCs w:val="18"/>
        </w:rPr>
        <w:t xml:space="preserve">, Deputy Minister </w:t>
      </w:r>
      <w:proofErr w:type="spellStart"/>
      <w:r w:rsidRPr="002965EC">
        <w:rPr>
          <w:rFonts w:ascii="Arial" w:hAnsi="Arial" w:cs="Arial"/>
          <w:b/>
          <w:sz w:val="18"/>
          <w:szCs w:val="18"/>
        </w:rPr>
        <w:t>Sotyu</w:t>
      </w:r>
      <w:proofErr w:type="spellEnd"/>
      <w:r w:rsidRPr="002965EC">
        <w:rPr>
          <w:rFonts w:ascii="Arial" w:hAnsi="Arial" w:cs="Arial"/>
          <w:b/>
          <w:sz w:val="18"/>
          <w:szCs w:val="18"/>
        </w:rPr>
        <w:t xml:space="preserve">, </w:t>
      </w:r>
      <w:proofErr w:type="spellStart"/>
      <w:r w:rsidRPr="002965EC">
        <w:rPr>
          <w:rFonts w:ascii="Arial" w:hAnsi="Arial" w:cs="Arial"/>
          <w:b/>
          <w:sz w:val="18"/>
          <w:szCs w:val="18"/>
        </w:rPr>
        <w:t>Adv</w:t>
      </w:r>
      <w:proofErr w:type="spellEnd"/>
      <w:r w:rsidRPr="002965EC">
        <w:rPr>
          <w:rFonts w:ascii="Arial" w:hAnsi="Arial" w:cs="Arial"/>
          <w:b/>
          <w:sz w:val="18"/>
          <w:szCs w:val="18"/>
        </w:rPr>
        <w:t xml:space="preserve"> </w:t>
      </w:r>
      <w:proofErr w:type="spellStart"/>
      <w:r w:rsidRPr="002965EC">
        <w:rPr>
          <w:rFonts w:ascii="Arial" w:hAnsi="Arial" w:cs="Arial"/>
          <w:b/>
          <w:sz w:val="18"/>
          <w:szCs w:val="18"/>
        </w:rPr>
        <w:t>Thoko</w:t>
      </w:r>
      <w:proofErr w:type="spellEnd"/>
      <w:r w:rsidRPr="002965EC">
        <w:rPr>
          <w:rFonts w:ascii="Arial" w:hAnsi="Arial" w:cs="Arial"/>
          <w:b/>
          <w:sz w:val="18"/>
          <w:szCs w:val="18"/>
        </w:rPr>
        <w:t xml:space="preserve"> </w:t>
      </w:r>
      <w:proofErr w:type="spellStart"/>
      <w:r w:rsidRPr="002965EC">
        <w:rPr>
          <w:rFonts w:ascii="Arial" w:hAnsi="Arial" w:cs="Arial"/>
          <w:b/>
          <w:sz w:val="18"/>
          <w:szCs w:val="18"/>
        </w:rPr>
        <w:t>Majokweni</w:t>
      </w:r>
      <w:proofErr w:type="spellEnd"/>
      <w:r w:rsidRPr="002965EC">
        <w:rPr>
          <w:rFonts w:ascii="Arial" w:hAnsi="Arial" w:cs="Arial"/>
          <w:b/>
          <w:sz w:val="18"/>
          <w:szCs w:val="18"/>
        </w:rPr>
        <w:t xml:space="preserve"> and Ambassador Mamabolo, among delegates from other UN Member States at the 57</w:t>
      </w:r>
      <w:r w:rsidRPr="002965EC">
        <w:rPr>
          <w:rFonts w:ascii="Arial" w:hAnsi="Arial" w:cs="Arial"/>
          <w:b/>
          <w:sz w:val="18"/>
          <w:szCs w:val="18"/>
          <w:vertAlign w:val="superscript"/>
        </w:rPr>
        <w:t>th</w:t>
      </w:r>
      <w:r w:rsidRPr="002965EC">
        <w:rPr>
          <w:rFonts w:ascii="Arial" w:hAnsi="Arial" w:cs="Arial"/>
          <w:b/>
          <w:sz w:val="18"/>
          <w:szCs w:val="18"/>
        </w:rPr>
        <w:t xml:space="preserve"> Session of the UN CSW, 2013 at the UN Headquarters, New York</w:t>
      </w:r>
    </w:p>
    <w:p w14:paraId="7FDA5144" w14:textId="77777777" w:rsidR="00760298" w:rsidRDefault="00760298" w:rsidP="003D5B7E">
      <w:pPr>
        <w:rPr>
          <w:rFonts w:ascii="Arial" w:hAnsi="Arial" w:cs="Arial"/>
          <w:b/>
          <w:szCs w:val="24"/>
        </w:rPr>
      </w:pPr>
    </w:p>
    <w:p w14:paraId="2E02CFA8" w14:textId="77777777" w:rsidR="00D430A7" w:rsidRDefault="00D430A7" w:rsidP="003D5B7E">
      <w:pPr>
        <w:rPr>
          <w:rFonts w:ascii="Arial" w:hAnsi="Arial" w:cs="Arial"/>
          <w:b/>
          <w:szCs w:val="24"/>
        </w:rPr>
      </w:pPr>
    </w:p>
    <w:p w14:paraId="3CE52950" w14:textId="77777777" w:rsidR="00D430A7" w:rsidRDefault="00D430A7" w:rsidP="003D5B7E">
      <w:pPr>
        <w:rPr>
          <w:rFonts w:ascii="Arial" w:hAnsi="Arial" w:cs="Arial"/>
          <w:b/>
          <w:szCs w:val="24"/>
        </w:rPr>
      </w:pPr>
    </w:p>
    <w:p w14:paraId="3E6EAE44" w14:textId="77777777" w:rsidR="00D430A7" w:rsidRDefault="00D430A7" w:rsidP="003D5B7E">
      <w:pPr>
        <w:rPr>
          <w:rFonts w:ascii="Arial" w:hAnsi="Arial" w:cs="Arial"/>
          <w:b/>
          <w:szCs w:val="24"/>
        </w:rPr>
      </w:pPr>
    </w:p>
    <w:p w14:paraId="37203621" w14:textId="77777777" w:rsidR="00D430A7" w:rsidRDefault="00D430A7" w:rsidP="003D5B7E">
      <w:pPr>
        <w:rPr>
          <w:rFonts w:ascii="Arial" w:hAnsi="Arial" w:cs="Arial"/>
          <w:b/>
          <w:szCs w:val="24"/>
        </w:rPr>
      </w:pPr>
    </w:p>
    <w:p w14:paraId="69C95824" w14:textId="77777777" w:rsidR="00D430A7" w:rsidRPr="002965EC" w:rsidRDefault="00D430A7" w:rsidP="003D5B7E">
      <w:pPr>
        <w:rPr>
          <w:rFonts w:ascii="Arial" w:hAnsi="Arial" w:cs="Arial"/>
          <w:b/>
          <w:szCs w:val="24"/>
        </w:rPr>
      </w:pPr>
    </w:p>
    <w:p w14:paraId="756CA3AC" w14:textId="77777777" w:rsidR="008E58D1" w:rsidRPr="002965EC" w:rsidRDefault="008E58D1" w:rsidP="003D5B7E">
      <w:pPr>
        <w:rPr>
          <w:rFonts w:ascii="Arial" w:hAnsi="Arial" w:cs="Arial"/>
          <w:b/>
          <w:szCs w:val="24"/>
        </w:rPr>
      </w:pPr>
    </w:p>
    <w:p w14:paraId="63CFF4FE" w14:textId="77777777" w:rsidR="002E09A8" w:rsidRPr="002965EC" w:rsidRDefault="002E09A8" w:rsidP="003D5B7E">
      <w:pPr>
        <w:rPr>
          <w:rFonts w:ascii="Arial" w:hAnsi="Arial" w:cs="Arial"/>
          <w:b/>
          <w:szCs w:val="24"/>
        </w:rPr>
      </w:pPr>
      <w:r w:rsidRPr="002965EC">
        <w:rPr>
          <w:rFonts w:ascii="Arial" w:hAnsi="Arial" w:cs="Arial"/>
          <w:b/>
          <w:szCs w:val="24"/>
        </w:rPr>
        <w:lastRenderedPageBreak/>
        <w:t>TABLE OF CONTENTS</w:t>
      </w:r>
    </w:p>
    <w:p w14:paraId="3BF6A9B0" w14:textId="77777777" w:rsidR="00BA6E48" w:rsidRPr="002965EC" w:rsidRDefault="00BA6E48">
      <w:pPr>
        <w:pStyle w:val="TOC1"/>
        <w:tabs>
          <w:tab w:val="left" w:pos="440"/>
          <w:tab w:val="right" w:leader="dot" w:pos="9350"/>
        </w:tabs>
        <w:rPr>
          <w:rFonts w:ascii="Arial" w:hAnsi="Arial" w:cs="Arial"/>
          <w:noProof/>
        </w:rPr>
      </w:pPr>
      <w:r w:rsidRPr="002965EC">
        <w:rPr>
          <w:rFonts w:ascii="Arial" w:hAnsi="Arial" w:cs="Arial"/>
          <w:b/>
          <w:szCs w:val="24"/>
        </w:rPr>
        <w:fldChar w:fldCharType="begin"/>
      </w:r>
      <w:r w:rsidRPr="002965EC">
        <w:rPr>
          <w:rFonts w:ascii="Arial" w:hAnsi="Arial" w:cs="Arial"/>
          <w:b/>
          <w:szCs w:val="24"/>
        </w:rPr>
        <w:instrText xml:space="preserve"> TOC \o "1-3" \h \z \u </w:instrText>
      </w:r>
      <w:r w:rsidRPr="002965EC">
        <w:rPr>
          <w:rFonts w:ascii="Arial" w:hAnsi="Arial" w:cs="Arial"/>
          <w:b/>
          <w:szCs w:val="24"/>
        </w:rPr>
        <w:fldChar w:fldCharType="separate"/>
      </w:r>
      <w:hyperlink w:anchor="_Toc2094109" w:history="1">
        <w:r w:rsidRPr="002965EC">
          <w:rPr>
            <w:rStyle w:val="Hyperlink"/>
            <w:rFonts w:ascii="Arial" w:hAnsi="Arial" w:cs="Arial"/>
            <w:noProof/>
          </w:rPr>
          <w:t>1</w:t>
        </w:r>
        <w:r w:rsidRPr="002965EC">
          <w:rPr>
            <w:rFonts w:ascii="Arial" w:hAnsi="Arial" w:cs="Arial"/>
            <w:noProof/>
          </w:rPr>
          <w:tab/>
        </w:r>
        <w:r w:rsidRPr="002965EC">
          <w:rPr>
            <w:rStyle w:val="Hyperlink"/>
            <w:rFonts w:ascii="Arial" w:hAnsi="Arial" w:cs="Arial"/>
            <w:noProof/>
          </w:rPr>
          <w:t>INTRODUCTION</w:t>
        </w:r>
        <w:r w:rsidRPr="002965EC">
          <w:rPr>
            <w:rFonts w:ascii="Arial" w:hAnsi="Arial" w:cs="Arial"/>
            <w:noProof/>
            <w:webHidden/>
          </w:rPr>
          <w:tab/>
        </w:r>
        <w:r w:rsidRPr="002965EC">
          <w:rPr>
            <w:rFonts w:ascii="Arial" w:hAnsi="Arial" w:cs="Arial"/>
            <w:noProof/>
            <w:webHidden/>
          </w:rPr>
          <w:fldChar w:fldCharType="begin"/>
        </w:r>
        <w:r w:rsidRPr="002965EC">
          <w:rPr>
            <w:rFonts w:ascii="Arial" w:hAnsi="Arial" w:cs="Arial"/>
            <w:noProof/>
            <w:webHidden/>
          </w:rPr>
          <w:instrText xml:space="preserve"> PAGEREF _Toc2094109 \h </w:instrText>
        </w:r>
        <w:r w:rsidRPr="002965EC">
          <w:rPr>
            <w:rFonts w:ascii="Arial" w:hAnsi="Arial" w:cs="Arial"/>
            <w:noProof/>
            <w:webHidden/>
          </w:rPr>
        </w:r>
        <w:r w:rsidRPr="002965EC">
          <w:rPr>
            <w:rFonts w:ascii="Arial" w:hAnsi="Arial" w:cs="Arial"/>
            <w:noProof/>
            <w:webHidden/>
          </w:rPr>
          <w:fldChar w:fldCharType="separate"/>
        </w:r>
        <w:r w:rsidRPr="002965EC">
          <w:rPr>
            <w:rFonts w:ascii="Arial" w:hAnsi="Arial" w:cs="Arial"/>
            <w:noProof/>
            <w:webHidden/>
          </w:rPr>
          <w:t>3</w:t>
        </w:r>
        <w:r w:rsidRPr="002965EC">
          <w:rPr>
            <w:rFonts w:ascii="Arial" w:hAnsi="Arial" w:cs="Arial"/>
            <w:noProof/>
            <w:webHidden/>
          </w:rPr>
          <w:fldChar w:fldCharType="end"/>
        </w:r>
      </w:hyperlink>
    </w:p>
    <w:p w14:paraId="00D8909F" w14:textId="77777777" w:rsidR="00BA6E48" w:rsidRPr="002965EC" w:rsidRDefault="00D430A7">
      <w:pPr>
        <w:pStyle w:val="TOC1"/>
        <w:tabs>
          <w:tab w:val="left" w:pos="440"/>
          <w:tab w:val="right" w:leader="dot" w:pos="9350"/>
        </w:tabs>
        <w:rPr>
          <w:rFonts w:ascii="Arial" w:hAnsi="Arial" w:cs="Arial"/>
          <w:noProof/>
        </w:rPr>
      </w:pPr>
      <w:hyperlink w:anchor="_Toc2094110" w:history="1">
        <w:r w:rsidR="00BA6E48" w:rsidRPr="002965EC">
          <w:rPr>
            <w:rStyle w:val="Hyperlink"/>
            <w:rFonts w:ascii="Arial" w:hAnsi="Arial" w:cs="Arial"/>
            <w:noProof/>
          </w:rPr>
          <w:t>2</w:t>
        </w:r>
        <w:r w:rsidR="00BA6E48" w:rsidRPr="002965EC">
          <w:rPr>
            <w:rFonts w:ascii="Arial" w:hAnsi="Arial" w:cs="Arial"/>
            <w:noProof/>
          </w:rPr>
          <w:tab/>
        </w:r>
        <w:r w:rsidR="00BA6E48" w:rsidRPr="002965EC">
          <w:rPr>
            <w:rStyle w:val="Hyperlink"/>
            <w:rFonts w:ascii="Arial" w:hAnsi="Arial" w:cs="Arial"/>
            <w:noProof/>
          </w:rPr>
          <w:t>BACKGROUND</w:t>
        </w:r>
        <w:r w:rsidR="00BA6E48" w:rsidRPr="002965EC">
          <w:rPr>
            <w:rFonts w:ascii="Arial" w:hAnsi="Arial" w:cs="Arial"/>
            <w:noProof/>
            <w:webHidden/>
          </w:rPr>
          <w:tab/>
        </w:r>
        <w:r w:rsidR="00BA6E48" w:rsidRPr="002965EC">
          <w:rPr>
            <w:rFonts w:ascii="Arial" w:hAnsi="Arial" w:cs="Arial"/>
            <w:noProof/>
            <w:webHidden/>
          </w:rPr>
          <w:fldChar w:fldCharType="begin"/>
        </w:r>
        <w:r w:rsidR="00BA6E48" w:rsidRPr="002965EC">
          <w:rPr>
            <w:rFonts w:ascii="Arial" w:hAnsi="Arial" w:cs="Arial"/>
            <w:noProof/>
            <w:webHidden/>
          </w:rPr>
          <w:instrText xml:space="preserve"> PAGEREF _Toc2094110 \h </w:instrText>
        </w:r>
        <w:r w:rsidR="00BA6E48" w:rsidRPr="002965EC">
          <w:rPr>
            <w:rFonts w:ascii="Arial" w:hAnsi="Arial" w:cs="Arial"/>
            <w:noProof/>
            <w:webHidden/>
          </w:rPr>
        </w:r>
        <w:r w:rsidR="00BA6E48" w:rsidRPr="002965EC">
          <w:rPr>
            <w:rFonts w:ascii="Arial" w:hAnsi="Arial" w:cs="Arial"/>
            <w:noProof/>
            <w:webHidden/>
          </w:rPr>
          <w:fldChar w:fldCharType="separate"/>
        </w:r>
        <w:r w:rsidR="00BA6E48" w:rsidRPr="002965EC">
          <w:rPr>
            <w:rFonts w:ascii="Arial" w:hAnsi="Arial" w:cs="Arial"/>
            <w:noProof/>
            <w:webHidden/>
          </w:rPr>
          <w:t>4</w:t>
        </w:r>
        <w:r w:rsidR="00BA6E48" w:rsidRPr="002965EC">
          <w:rPr>
            <w:rFonts w:ascii="Arial" w:hAnsi="Arial" w:cs="Arial"/>
            <w:noProof/>
            <w:webHidden/>
          </w:rPr>
          <w:fldChar w:fldCharType="end"/>
        </w:r>
      </w:hyperlink>
    </w:p>
    <w:p w14:paraId="0F30C269" w14:textId="77777777" w:rsidR="00BA6E48" w:rsidRPr="002965EC" w:rsidRDefault="00D430A7">
      <w:pPr>
        <w:pStyle w:val="TOC1"/>
        <w:tabs>
          <w:tab w:val="left" w:pos="440"/>
          <w:tab w:val="right" w:leader="dot" w:pos="9350"/>
        </w:tabs>
        <w:rPr>
          <w:rFonts w:ascii="Arial" w:hAnsi="Arial" w:cs="Arial"/>
          <w:noProof/>
        </w:rPr>
      </w:pPr>
      <w:hyperlink w:anchor="_Toc2094111" w:history="1">
        <w:r w:rsidR="00BA6E48" w:rsidRPr="002965EC">
          <w:rPr>
            <w:rStyle w:val="Hyperlink"/>
            <w:rFonts w:ascii="Arial" w:hAnsi="Arial" w:cs="Arial"/>
            <w:noProof/>
          </w:rPr>
          <w:t>3</w:t>
        </w:r>
        <w:r w:rsidR="00BA6E48" w:rsidRPr="002965EC">
          <w:rPr>
            <w:rFonts w:ascii="Arial" w:hAnsi="Arial" w:cs="Arial"/>
            <w:noProof/>
          </w:rPr>
          <w:tab/>
        </w:r>
        <w:r w:rsidR="00BA6E48" w:rsidRPr="002965EC">
          <w:rPr>
            <w:rStyle w:val="Hyperlink"/>
            <w:rFonts w:ascii="Arial" w:hAnsi="Arial" w:cs="Arial"/>
            <w:noProof/>
          </w:rPr>
          <w:t>POLICY AND LEGISLATIVE FRAMEWORKS</w:t>
        </w:r>
        <w:r w:rsidR="00BA6E48" w:rsidRPr="002965EC">
          <w:rPr>
            <w:rFonts w:ascii="Arial" w:hAnsi="Arial" w:cs="Arial"/>
            <w:noProof/>
            <w:webHidden/>
          </w:rPr>
          <w:tab/>
        </w:r>
        <w:r w:rsidR="00BA6E48" w:rsidRPr="002965EC">
          <w:rPr>
            <w:rFonts w:ascii="Arial" w:hAnsi="Arial" w:cs="Arial"/>
            <w:noProof/>
            <w:webHidden/>
          </w:rPr>
          <w:fldChar w:fldCharType="begin"/>
        </w:r>
        <w:r w:rsidR="00BA6E48" w:rsidRPr="002965EC">
          <w:rPr>
            <w:rFonts w:ascii="Arial" w:hAnsi="Arial" w:cs="Arial"/>
            <w:noProof/>
            <w:webHidden/>
          </w:rPr>
          <w:instrText xml:space="preserve"> PAGEREF _Toc2094111 \h </w:instrText>
        </w:r>
        <w:r w:rsidR="00BA6E48" w:rsidRPr="002965EC">
          <w:rPr>
            <w:rFonts w:ascii="Arial" w:hAnsi="Arial" w:cs="Arial"/>
            <w:noProof/>
            <w:webHidden/>
          </w:rPr>
        </w:r>
        <w:r w:rsidR="00BA6E48" w:rsidRPr="002965EC">
          <w:rPr>
            <w:rFonts w:ascii="Arial" w:hAnsi="Arial" w:cs="Arial"/>
            <w:noProof/>
            <w:webHidden/>
          </w:rPr>
          <w:fldChar w:fldCharType="separate"/>
        </w:r>
        <w:r w:rsidR="00BA6E48" w:rsidRPr="002965EC">
          <w:rPr>
            <w:rFonts w:ascii="Arial" w:hAnsi="Arial" w:cs="Arial"/>
            <w:noProof/>
            <w:webHidden/>
          </w:rPr>
          <w:t>6</w:t>
        </w:r>
        <w:r w:rsidR="00BA6E48" w:rsidRPr="002965EC">
          <w:rPr>
            <w:rFonts w:ascii="Arial" w:hAnsi="Arial" w:cs="Arial"/>
            <w:noProof/>
            <w:webHidden/>
          </w:rPr>
          <w:fldChar w:fldCharType="end"/>
        </w:r>
      </w:hyperlink>
    </w:p>
    <w:p w14:paraId="5C9EF4C9" w14:textId="77777777" w:rsidR="00BA6E48" w:rsidRPr="002965EC" w:rsidRDefault="00D430A7">
      <w:pPr>
        <w:pStyle w:val="TOC2"/>
        <w:tabs>
          <w:tab w:val="left" w:pos="880"/>
          <w:tab w:val="right" w:leader="dot" w:pos="9350"/>
        </w:tabs>
        <w:rPr>
          <w:rFonts w:ascii="Arial" w:hAnsi="Arial" w:cs="Arial"/>
          <w:noProof/>
        </w:rPr>
      </w:pPr>
      <w:hyperlink w:anchor="_Toc2094112" w:history="1">
        <w:r w:rsidR="00BA6E48" w:rsidRPr="002965EC">
          <w:rPr>
            <w:rStyle w:val="Hyperlink"/>
            <w:rFonts w:ascii="Arial" w:hAnsi="Arial" w:cs="Arial"/>
            <w:noProof/>
          </w:rPr>
          <w:t>3.1</w:t>
        </w:r>
        <w:r w:rsidR="00BA6E48" w:rsidRPr="002965EC">
          <w:rPr>
            <w:rFonts w:ascii="Arial" w:hAnsi="Arial" w:cs="Arial"/>
            <w:noProof/>
          </w:rPr>
          <w:tab/>
        </w:r>
        <w:r w:rsidR="00BA6E48" w:rsidRPr="002965EC">
          <w:rPr>
            <w:rStyle w:val="Hyperlink"/>
            <w:rFonts w:ascii="Arial" w:hAnsi="Arial" w:cs="Arial"/>
            <w:noProof/>
          </w:rPr>
          <w:t>Global policy frameworks governing the implementation of social protection systems, public  services and sustainable infrastructure</w:t>
        </w:r>
        <w:r w:rsidR="00BA6E48" w:rsidRPr="002965EC">
          <w:rPr>
            <w:rFonts w:ascii="Arial" w:hAnsi="Arial" w:cs="Arial"/>
            <w:noProof/>
            <w:webHidden/>
          </w:rPr>
          <w:tab/>
        </w:r>
        <w:r w:rsidR="00BA6E48" w:rsidRPr="002965EC">
          <w:rPr>
            <w:rFonts w:ascii="Arial" w:hAnsi="Arial" w:cs="Arial"/>
            <w:noProof/>
            <w:webHidden/>
          </w:rPr>
          <w:fldChar w:fldCharType="begin"/>
        </w:r>
        <w:r w:rsidR="00BA6E48" w:rsidRPr="002965EC">
          <w:rPr>
            <w:rFonts w:ascii="Arial" w:hAnsi="Arial" w:cs="Arial"/>
            <w:noProof/>
            <w:webHidden/>
          </w:rPr>
          <w:instrText xml:space="preserve"> PAGEREF _Toc2094112 \h </w:instrText>
        </w:r>
        <w:r w:rsidR="00BA6E48" w:rsidRPr="002965EC">
          <w:rPr>
            <w:rFonts w:ascii="Arial" w:hAnsi="Arial" w:cs="Arial"/>
            <w:noProof/>
            <w:webHidden/>
          </w:rPr>
        </w:r>
        <w:r w:rsidR="00BA6E48" w:rsidRPr="002965EC">
          <w:rPr>
            <w:rFonts w:ascii="Arial" w:hAnsi="Arial" w:cs="Arial"/>
            <w:noProof/>
            <w:webHidden/>
          </w:rPr>
          <w:fldChar w:fldCharType="separate"/>
        </w:r>
        <w:r w:rsidR="00BA6E48" w:rsidRPr="002965EC">
          <w:rPr>
            <w:rFonts w:ascii="Arial" w:hAnsi="Arial" w:cs="Arial"/>
            <w:noProof/>
            <w:webHidden/>
          </w:rPr>
          <w:t>6</w:t>
        </w:r>
        <w:r w:rsidR="00BA6E48" w:rsidRPr="002965EC">
          <w:rPr>
            <w:rFonts w:ascii="Arial" w:hAnsi="Arial" w:cs="Arial"/>
            <w:noProof/>
            <w:webHidden/>
          </w:rPr>
          <w:fldChar w:fldCharType="end"/>
        </w:r>
      </w:hyperlink>
    </w:p>
    <w:p w14:paraId="5921A2AA" w14:textId="77777777" w:rsidR="00BA6E48" w:rsidRPr="002965EC" w:rsidRDefault="00D430A7">
      <w:pPr>
        <w:pStyle w:val="TOC2"/>
        <w:tabs>
          <w:tab w:val="left" w:pos="880"/>
          <w:tab w:val="right" w:leader="dot" w:pos="9350"/>
        </w:tabs>
        <w:rPr>
          <w:rFonts w:ascii="Arial" w:hAnsi="Arial" w:cs="Arial"/>
          <w:noProof/>
        </w:rPr>
      </w:pPr>
      <w:hyperlink w:anchor="_Toc2094113" w:history="1">
        <w:r w:rsidR="00BA6E48" w:rsidRPr="002965EC">
          <w:rPr>
            <w:rStyle w:val="Hyperlink"/>
            <w:rFonts w:ascii="Arial" w:hAnsi="Arial" w:cs="Arial"/>
            <w:noProof/>
          </w:rPr>
          <w:t>3.2</w:t>
        </w:r>
        <w:r w:rsidR="00BA6E48" w:rsidRPr="002965EC">
          <w:rPr>
            <w:rFonts w:ascii="Arial" w:hAnsi="Arial" w:cs="Arial"/>
            <w:noProof/>
          </w:rPr>
          <w:tab/>
        </w:r>
        <w:r w:rsidR="00BA6E48" w:rsidRPr="002965EC">
          <w:rPr>
            <w:rStyle w:val="Hyperlink"/>
            <w:rFonts w:ascii="Arial" w:hAnsi="Arial" w:cs="Arial"/>
            <w:noProof/>
          </w:rPr>
          <w:t>National Legislative and Policy Frameworks</w:t>
        </w:r>
        <w:r w:rsidR="00BA6E48" w:rsidRPr="002965EC">
          <w:rPr>
            <w:rFonts w:ascii="Arial" w:hAnsi="Arial" w:cs="Arial"/>
            <w:noProof/>
            <w:webHidden/>
          </w:rPr>
          <w:tab/>
        </w:r>
        <w:r w:rsidR="00BA6E48" w:rsidRPr="002965EC">
          <w:rPr>
            <w:rFonts w:ascii="Arial" w:hAnsi="Arial" w:cs="Arial"/>
            <w:noProof/>
            <w:webHidden/>
          </w:rPr>
          <w:fldChar w:fldCharType="begin"/>
        </w:r>
        <w:r w:rsidR="00BA6E48" w:rsidRPr="002965EC">
          <w:rPr>
            <w:rFonts w:ascii="Arial" w:hAnsi="Arial" w:cs="Arial"/>
            <w:noProof/>
            <w:webHidden/>
          </w:rPr>
          <w:instrText xml:space="preserve"> PAGEREF _Toc2094113 \h </w:instrText>
        </w:r>
        <w:r w:rsidR="00BA6E48" w:rsidRPr="002965EC">
          <w:rPr>
            <w:rFonts w:ascii="Arial" w:hAnsi="Arial" w:cs="Arial"/>
            <w:noProof/>
            <w:webHidden/>
          </w:rPr>
        </w:r>
        <w:r w:rsidR="00BA6E48" w:rsidRPr="002965EC">
          <w:rPr>
            <w:rFonts w:ascii="Arial" w:hAnsi="Arial" w:cs="Arial"/>
            <w:noProof/>
            <w:webHidden/>
          </w:rPr>
          <w:fldChar w:fldCharType="separate"/>
        </w:r>
        <w:r w:rsidR="00BA6E48" w:rsidRPr="002965EC">
          <w:rPr>
            <w:rFonts w:ascii="Arial" w:hAnsi="Arial" w:cs="Arial"/>
            <w:noProof/>
            <w:webHidden/>
          </w:rPr>
          <w:t>7</w:t>
        </w:r>
        <w:r w:rsidR="00BA6E48" w:rsidRPr="002965EC">
          <w:rPr>
            <w:rFonts w:ascii="Arial" w:hAnsi="Arial" w:cs="Arial"/>
            <w:noProof/>
            <w:webHidden/>
          </w:rPr>
          <w:fldChar w:fldCharType="end"/>
        </w:r>
      </w:hyperlink>
    </w:p>
    <w:p w14:paraId="7A6A3B9B" w14:textId="22698E1C" w:rsidR="00BA6E48" w:rsidRPr="002965EC" w:rsidRDefault="00D430A7">
      <w:pPr>
        <w:pStyle w:val="TOC2"/>
        <w:tabs>
          <w:tab w:val="left" w:pos="880"/>
          <w:tab w:val="right" w:leader="dot" w:pos="9350"/>
        </w:tabs>
        <w:rPr>
          <w:rFonts w:ascii="Arial" w:hAnsi="Arial" w:cs="Arial"/>
          <w:noProof/>
        </w:rPr>
      </w:pPr>
      <w:hyperlink w:anchor="_Toc2094114" w:history="1">
        <w:r w:rsidR="00BA6E48" w:rsidRPr="002965EC">
          <w:rPr>
            <w:rStyle w:val="Hyperlink"/>
            <w:rFonts w:ascii="Arial" w:hAnsi="Arial" w:cs="Arial"/>
            <w:noProof/>
          </w:rPr>
          <w:t>3.3</w:t>
        </w:r>
        <w:r w:rsidR="00BA6E48" w:rsidRPr="002965EC">
          <w:rPr>
            <w:rFonts w:ascii="Arial" w:hAnsi="Arial" w:cs="Arial"/>
            <w:noProof/>
          </w:rPr>
          <w:tab/>
        </w:r>
        <w:r w:rsidR="00BA6E48" w:rsidRPr="002965EC">
          <w:rPr>
            <w:rStyle w:val="Hyperlink"/>
            <w:rFonts w:ascii="Arial" w:hAnsi="Arial" w:cs="Arial"/>
            <w:noProof/>
          </w:rPr>
          <w:t>Other Enabling Legislation</w:t>
        </w:r>
        <w:r w:rsidR="00BA6E48" w:rsidRPr="002965EC">
          <w:rPr>
            <w:rFonts w:ascii="Arial" w:hAnsi="Arial" w:cs="Arial"/>
            <w:noProof/>
            <w:webHidden/>
          </w:rPr>
          <w:tab/>
        </w:r>
        <w:r>
          <w:rPr>
            <w:rFonts w:ascii="Arial" w:hAnsi="Arial" w:cs="Arial"/>
            <w:noProof/>
            <w:webHidden/>
          </w:rPr>
          <w:t>11</w:t>
        </w:r>
      </w:hyperlink>
    </w:p>
    <w:p w14:paraId="587DA012" w14:textId="5693EEF7" w:rsidR="00BA6E48" w:rsidRPr="002965EC" w:rsidRDefault="00D430A7">
      <w:pPr>
        <w:pStyle w:val="TOC3"/>
        <w:tabs>
          <w:tab w:val="left" w:pos="1320"/>
          <w:tab w:val="right" w:leader="dot" w:pos="9350"/>
        </w:tabs>
        <w:rPr>
          <w:rFonts w:ascii="Arial" w:hAnsi="Arial" w:cs="Arial"/>
          <w:noProof/>
        </w:rPr>
      </w:pPr>
      <w:hyperlink w:anchor="_Toc2094115" w:history="1">
        <w:r w:rsidR="00BA6E48" w:rsidRPr="002965EC">
          <w:rPr>
            <w:rStyle w:val="Hyperlink"/>
            <w:rFonts w:ascii="Arial" w:hAnsi="Arial" w:cs="Arial"/>
            <w:noProof/>
          </w:rPr>
          <w:t>3.3.1</w:t>
        </w:r>
        <w:r w:rsidR="00BA6E48" w:rsidRPr="002965EC">
          <w:rPr>
            <w:rFonts w:ascii="Arial" w:hAnsi="Arial" w:cs="Arial"/>
            <w:noProof/>
          </w:rPr>
          <w:tab/>
        </w:r>
        <w:r w:rsidR="00BA6E48" w:rsidRPr="002965EC">
          <w:rPr>
            <w:rStyle w:val="Hyperlink"/>
            <w:rFonts w:ascii="Arial" w:hAnsi="Arial" w:cs="Arial"/>
            <w:noProof/>
          </w:rPr>
          <w:t>Legislation relate</w:t>
        </w:r>
        <w:r w:rsidR="00B64671" w:rsidRPr="002965EC">
          <w:rPr>
            <w:rStyle w:val="Hyperlink"/>
            <w:rFonts w:ascii="Arial" w:hAnsi="Arial" w:cs="Arial"/>
            <w:noProof/>
          </w:rPr>
          <w:t>d to l</w:t>
        </w:r>
        <w:r w:rsidR="00BA6E48" w:rsidRPr="002965EC">
          <w:rPr>
            <w:rStyle w:val="Hyperlink"/>
            <w:rFonts w:ascii="Arial" w:hAnsi="Arial" w:cs="Arial"/>
            <w:noProof/>
          </w:rPr>
          <w:t>abour matters</w:t>
        </w:r>
        <w:r w:rsidR="00BA6E48" w:rsidRPr="002965EC">
          <w:rPr>
            <w:rFonts w:ascii="Arial" w:hAnsi="Arial" w:cs="Arial"/>
            <w:noProof/>
            <w:webHidden/>
          </w:rPr>
          <w:tab/>
        </w:r>
        <w:r>
          <w:rPr>
            <w:rFonts w:ascii="Arial" w:hAnsi="Arial" w:cs="Arial"/>
            <w:noProof/>
            <w:webHidden/>
          </w:rPr>
          <w:t>12</w:t>
        </w:r>
      </w:hyperlink>
    </w:p>
    <w:p w14:paraId="6672A8A1" w14:textId="69A0C78A" w:rsidR="00BA6E48" w:rsidRPr="002965EC" w:rsidRDefault="00D430A7">
      <w:pPr>
        <w:pStyle w:val="TOC3"/>
        <w:tabs>
          <w:tab w:val="left" w:pos="1320"/>
          <w:tab w:val="right" w:leader="dot" w:pos="9350"/>
        </w:tabs>
        <w:rPr>
          <w:rFonts w:ascii="Arial" w:hAnsi="Arial" w:cs="Arial"/>
          <w:noProof/>
        </w:rPr>
      </w:pPr>
      <w:hyperlink w:anchor="_Toc2094116" w:history="1">
        <w:r w:rsidR="00BA6E48" w:rsidRPr="002965EC">
          <w:rPr>
            <w:rStyle w:val="Hyperlink"/>
            <w:rFonts w:ascii="Arial" w:hAnsi="Arial" w:cs="Arial"/>
            <w:noProof/>
          </w:rPr>
          <w:t>3.3.2</w:t>
        </w:r>
        <w:r w:rsidR="00BA6E48" w:rsidRPr="002965EC">
          <w:rPr>
            <w:rFonts w:ascii="Arial" w:hAnsi="Arial" w:cs="Arial"/>
            <w:noProof/>
          </w:rPr>
          <w:tab/>
        </w:r>
        <w:r w:rsidR="00BA6E48" w:rsidRPr="002965EC">
          <w:rPr>
            <w:rStyle w:val="Hyperlink"/>
            <w:rFonts w:ascii="Arial" w:hAnsi="Arial" w:cs="Arial"/>
            <w:noProof/>
          </w:rPr>
          <w:t>Legislation related to Economic matters</w:t>
        </w:r>
        <w:r w:rsidR="00BA6E48" w:rsidRPr="002965EC">
          <w:rPr>
            <w:rFonts w:ascii="Arial" w:hAnsi="Arial" w:cs="Arial"/>
            <w:noProof/>
            <w:webHidden/>
          </w:rPr>
          <w:tab/>
        </w:r>
        <w:r w:rsidR="00852C76">
          <w:rPr>
            <w:rFonts w:ascii="Arial" w:hAnsi="Arial" w:cs="Arial"/>
            <w:noProof/>
            <w:webHidden/>
          </w:rPr>
          <w:t>14</w:t>
        </w:r>
      </w:hyperlink>
    </w:p>
    <w:p w14:paraId="57BC1D60" w14:textId="07A684F5" w:rsidR="00BA6E48" w:rsidRPr="002965EC" w:rsidRDefault="00D430A7">
      <w:pPr>
        <w:pStyle w:val="TOC3"/>
        <w:tabs>
          <w:tab w:val="left" w:pos="1320"/>
          <w:tab w:val="right" w:leader="dot" w:pos="9350"/>
        </w:tabs>
        <w:rPr>
          <w:rFonts w:ascii="Arial" w:hAnsi="Arial" w:cs="Arial"/>
          <w:noProof/>
        </w:rPr>
      </w:pPr>
      <w:hyperlink w:anchor="_Toc2094117" w:history="1">
        <w:r w:rsidR="00BA6E48" w:rsidRPr="002965EC">
          <w:rPr>
            <w:rStyle w:val="Hyperlink"/>
            <w:rFonts w:ascii="Arial" w:hAnsi="Arial" w:cs="Arial"/>
            <w:noProof/>
          </w:rPr>
          <w:t>3.3.3</w:t>
        </w:r>
        <w:r w:rsidR="00BA6E48" w:rsidRPr="002965EC">
          <w:rPr>
            <w:rFonts w:ascii="Arial" w:hAnsi="Arial" w:cs="Arial"/>
            <w:noProof/>
          </w:rPr>
          <w:tab/>
        </w:r>
        <w:r w:rsidR="00BA6E48" w:rsidRPr="002965EC">
          <w:rPr>
            <w:rStyle w:val="Hyperlink"/>
            <w:rFonts w:ascii="Arial" w:hAnsi="Arial" w:cs="Arial"/>
            <w:noProof/>
          </w:rPr>
          <w:t>Social security legislation</w:t>
        </w:r>
        <w:r w:rsidR="00BA6E48" w:rsidRPr="002965EC">
          <w:rPr>
            <w:rFonts w:ascii="Arial" w:hAnsi="Arial" w:cs="Arial"/>
            <w:noProof/>
            <w:webHidden/>
          </w:rPr>
          <w:tab/>
        </w:r>
        <w:r w:rsidR="00852C76">
          <w:rPr>
            <w:rFonts w:ascii="Arial" w:hAnsi="Arial" w:cs="Arial"/>
            <w:noProof/>
            <w:webHidden/>
          </w:rPr>
          <w:t>15</w:t>
        </w:r>
      </w:hyperlink>
    </w:p>
    <w:p w14:paraId="66BFD380" w14:textId="4FE08939" w:rsidR="00BA6E48" w:rsidRPr="002965EC" w:rsidRDefault="00D430A7">
      <w:pPr>
        <w:pStyle w:val="TOC3"/>
        <w:tabs>
          <w:tab w:val="left" w:pos="1320"/>
          <w:tab w:val="right" w:leader="dot" w:pos="9350"/>
        </w:tabs>
        <w:rPr>
          <w:rFonts w:ascii="Arial" w:hAnsi="Arial" w:cs="Arial"/>
          <w:noProof/>
        </w:rPr>
      </w:pPr>
      <w:hyperlink w:anchor="_Toc2094118" w:history="1">
        <w:r w:rsidR="00BA6E48" w:rsidRPr="002965EC">
          <w:rPr>
            <w:rStyle w:val="Hyperlink"/>
            <w:rFonts w:ascii="Arial" w:hAnsi="Arial" w:cs="Arial"/>
            <w:noProof/>
          </w:rPr>
          <w:t>3.3.4</w:t>
        </w:r>
        <w:r w:rsidR="00BA6E48" w:rsidRPr="002965EC">
          <w:rPr>
            <w:rFonts w:ascii="Arial" w:hAnsi="Arial" w:cs="Arial"/>
            <w:noProof/>
          </w:rPr>
          <w:tab/>
        </w:r>
        <w:r w:rsidR="00BA6E48" w:rsidRPr="002965EC">
          <w:rPr>
            <w:rStyle w:val="Hyperlink"/>
            <w:rFonts w:ascii="Arial" w:hAnsi="Arial" w:cs="Arial"/>
            <w:noProof/>
          </w:rPr>
          <w:t>Health</w:t>
        </w:r>
        <w:r w:rsidR="00BA6E48" w:rsidRPr="002965EC">
          <w:rPr>
            <w:rFonts w:ascii="Arial" w:hAnsi="Arial" w:cs="Arial"/>
            <w:noProof/>
            <w:webHidden/>
          </w:rPr>
          <w:tab/>
        </w:r>
        <w:r w:rsidR="00852C76">
          <w:rPr>
            <w:rFonts w:ascii="Arial" w:hAnsi="Arial" w:cs="Arial"/>
            <w:noProof/>
            <w:webHidden/>
          </w:rPr>
          <w:t>19</w:t>
        </w:r>
      </w:hyperlink>
    </w:p>
    <w:p w14:paraId="6821B75B" w14:textId="78E1D494" w:rsidR="00BA6E48" w:rsidRPr="002965EC" w:rsidRDefault="00D430A7">
      <w:pPr>
        <w:pStyle w:val="TOC3"/>
        <w:tabs>
          <w:tab w:val="left" w:pos="1320"/>
          <w:tab w:val="right" w:leader="dot" w:pos="9350"/>
        </w:tabs>
        <w:rPr>
          <w:rFonts w:ascii="Arial" w:hAnsi="Arial" w:cs="Arial"/>
          <w:noProof/>
        </w:rPr>
      </w:pPr>
      <w:hyperlink w:anchor="_Toc2094119" w:history="1">
        <w:r w:rsidR="00BA6E48" w:rsidRPr="002965EC">
          <w:rPr>
            <w:rStyle w:val="Hyperlink"/>
            <w:rFonts w:ascii="Arial" w:hAnsi="Arial" w:cs="Arial"/>
            <w:noProof/>
          </w:rPr>
          <w:t>3.3.5</w:t>
        </w:r>
        <w:r w:rsidR="00BA6E48" w:rsidRPr="002965EC">
          <w:rPr>
            <w:rFonts w:ascii="Arial" w:hAnsi="Arial" w:cs="Arial"/>
            <w:noProof/>
          </w:rPr>
          <w:tab/>
        </w:r>
        <w:r w:rsidR="00BA6E48" w:rsidRPr="002965EC">
          <w:rPr>
            <w:rStyle w:val="Hyperlink"/>
            <w:rFonts w:ascii="Arial" w:hAnsi="Arial" w:cs="Arial"/>
            <w:noProof/>
          </w:rPr>
          <w:t>Education</w:t>
        </w:r>
        <w:r w:rsidR="00BA6E48" w:rsidRPr="002965EC">
          <w:rPr>
            <w:rFonts w:ascii="Arial" w:hAnsi="Arial" w:cs="Arial"/>
            <w:noProof/>
            <w:webHidden/>
          </w:rPr>
          <w:tab/>
        </w:r>
        <w:r w:rsidR="00852C76">
          <w:rPr>
            <w:rFonts w:ascii="Arial" w:hAnsi="Arial" w:cs="Arial"/>
            <w:noProof/>
            <w:webHidden/>
          </w:rPr>
          <w:t>21</w:t>
        </w:r>
      </w:hyperlink>
    </w:p>
    <w:p w14:paraId="70840070" w14:textId="5705EF99" w:rsidR="00BA6E48" w:rsidRPr="002965EC" w:rsidRDefault="00D430A7">
      <w:pPr>
        <w:pStyle w:val="TOC3"/>
        <w:tabs>
          <w:tab w:val="left" w:pos="1320"/>
          <w:tab w:val="right" w:leader="dot" w:pos="9350"/>
        </w:tabs>
        <w:rPr>
          <w:rFonts w:ascii="Arial" w:hAnsi="Arial" w:cs="Arial"/>
          <w:noProof/>
        </w:rPr>
      </w:pPr>
      <w:hyperlink w:anchor="_Toc2094120" w:history="1">
        <w:r w:rsidR="00BA6E48" w:rsidRPr="002965EC">
          <w:rPr>
            <w:rStyle w:val="Hyperlink"/>
            <w:rFonts w:ascii="Arial" w:hAnsi="Arial" w:cs="Arial"/>
            <w:noProof/>
          </w:rPr>
          <w:t>3.3.6</w:t>
        </w:r>
        <w:r w:rsidR="00BA6E48" w:rsidRPr="002965EC">
          <w:rPr>
            <w:rFonts w:ascii="Arial" w:hAnsi="Arial" w:cs="Arial"/>
            <w:noProof/>
          </w:rPr>
          <w:tab/>
        </w:r>
        <w:r w:rsidR="00BA6E48" w:rsidRPr="002965EC">
          <w:rPr>
            <w:rStyle w:val="Hyperlink"/>
            <w:rFonts w:ascii="Arial" w:hAnsi="Arial" w:cs="Arial"/>
            <w:noProof/>
          </w:rPr>
          <w:t>Housing</w:t>
        </w:r>
        <w:r w:rsidR="00BA6E48" w:rsidRPr="002965EC">
          <w:rPr>
            <w:rFonts w:ascii="Arial" w:hAnsi="Arial" w:cs="Arial"/>
            <w:noProof/>
            <w:webHidden/>
          </w:rPr>
          <w:tab/>
        </w:r>
        <w:r w:rsidR="00852C76">
          <w:rPr>
            <w:rFonts w:ascii="Arial" w:hAnsi="Arial" w:cs="Arial"/>
            <w:noProof/>
            <w:webHidden/>
          </w:rPr>
          <w:t>21</w:t>
        </w:r>
      </w:hyperlink>
    </w:p>
    <w:p w14:paraId="1311B57D" w14:textId="28EF4421" w:rsidR="00BA6E48" w:rsidRPr="002965EC" w:rsidRDefault="00D430A7">
      <w:pPr>
        <w:pStyle w:val="TOC3"/>
        <w:tabs>
          <w:tab w:val="left" w:pos="1320"/>
          <w:tab w:val="right" w:leader="dot" w:pos="9350"/>
        </w:tabs>
        <w:rPr>
          <w:rFonts w:ascii="Arial" w:hAnsi="Arial" w:cs="Arial"/>
          <w:noProof/>
        </w:rPr>
      </w:pPr>
      <w:hyperlink w:anchor="_Toc2094121" w:history="1">
        <w:r w:rsidR="00BA6E48" w:rsidRPr="002965EC">
          <w:rPr>
            <w:rStyle w:val="Hyperlink"/>
            <w:rFonts w:ascii="Arial" w:hAnsi="Arial" w:cs="Arial"/>
            <w:noProof/>
          </w:rPr>
          <w:t>3.3.7</w:t>
        </w:r>
        <w:r w:rsidR="00BA6E48" w:rsidRPr="002965EC">
          <w:rPr>
            <w:rFonts w:ascii="Arial" w:hAnsi="Arial" w:cs="Arial"/>
            <w:noProof/>
          </w:rPr>
          <w:tab/>
        </w:r>
        <w:r w:rsidR="00BA6E48" w:rsidRPr="002965EC">
          <w:rPr>
            <w:rStyle w:val="Hyperlink"/>
            <w:rFonts w:ascii="Arial" w:hAnsi="Arial" w:cs="Arial"/>
            <w:noProof/>
          </w:rPr>
          <w:t>Environment and Water</w:t>
        </w:r>
        <w:r w:rsidR="00BA6E48" w:rsidRPr="002965EC">
          <w:rPr>
            <w:rFonts w:ascii="Arial" w:hAnsi="Arial" w:cs="Arial"/>
            <w:noProof/>
            <w:webHidden/>
          </w:rPr>
          <w:tab/>
        </w:r>
        <w:r w:rsidR="00852C76">
          <w:rPr>
            <w:rFonts w:ascii="Arial" w:hAnsi="Arial" w:cs="Arial"/>
            <w:noProof/>
            <w:webHidden/>
          </w:rPr>
          <w:t>22</w:t>
        </w:r>
      </w:hyperlink>
    </w:p>
    <w:p w14:paraId="296C25FF" w14:textId="4B00F87A" w:rsidR="00BA6E48" w:rsidRPr="002965EC" w:rsidRDefault="00D430A7">
      <w:pPr>
        <w:pStyle w:val="TOC1"/>
        <w:tabs>
          <w:tab w:val="left" w:pos="480"/>
          <w:tab w:val="right" w:leader="dot" w:pos="9350"/>
        </w:tabs>
        <w:rPr>
          <w:rFonts w:ascii="Arial" w:hAnsi="Arial" w:cs="Arial"/>
          <w:noProof/>
        </w:rPr>
      </w:pPr>
      <w:hyperlink w:anchor="_Toc2094122" w:history="1">
        <w:r w:rsidR="00BA6E48" w:rsidRPr="002965EC">
          <w:rPr>
            <w:rStyle w:val="Hyperlink"/>
            <w:rFonts w:ascii="Arial" w:hAnsi="Arial" w:cs="Arial"/>
            <w:noProof/>
          </w:rPr>
          <w:t>4</w:t>
        </w:r>
        <w:r w:rsidR="00BA6E48" w:rsidRPr="002965EC">
          <w:rPr>
            <w:rFonts w:ascii="Arial" w:hAnsi="Arial" w:cs="Arial"/>
            <w:noProof/>
          </w:rPr>
          <w:tab/>
        </w:r>
        <w:r w:rsidR="00BA6E48" w:rsidRPr="002965EC">
          <w:rPr>
            <w:rStyle w:val="Hyperlink"/>
            <w:rFonts w:ascii="Arial" w:hAnsi="Arial" w:cs="Arial"/>
            <w:noProof/>
          </w:rPr>
          <w:t>INTERNATIONAL, REGIONAL, SUB-REGIONAL AND NATIONAL PREPARATIONS</w:t>
        </w:r>
        <w:r w:rsidR="00BA6E48" w:rsidRPr="002965EC">
          <w:rPr>
            <w:rFonts w:ascii="Arial" w:hAnsi="Arial" w:cs="Arial"/>
            <w:noProof/>
            <w:webHidden/>
          </w:rPr>
          <w:tab/>
        </w:r>
        <w:r w:rsidR="00852C76">
          <w:rPr>
            <w:rFonts w:ascii="Arial" w:hAnsi="Arial" w:cs="Arial"/>
            <w:noProof/>
            <w:webHidden/>
          </w:rPr>
          <w:t>26</w:t>
        </w:r>
      </w:hyperlink>
    </w:p>
    <w:p w14:paraId="34FA7A35" w14:textId="5C814575" w:rsidR="00BA6E48" w:rsidRPr="002965EC" w:rsidRDefault="00D430A7">
      <w:pPr>
        <w:pStyle w:val="TOC2"/>
        <w:tabs>
          <w:tab w:val="left" w:pos="880"/>
          <w:tab w:val="right" w:leader="dot" w:pos="9350"/>
        </w:tabs>
        <w:rPr>
          <w:rFonts w:ascii="Arial" w:hAnsi="Arial" w:cs="Arial"/>
          <w:noProof/>
        </w:rPr>
      </w:pPr>
      <w:hyperlink w:anchor="_Toc2094123" w:history="1">
        <w:r w:rsidR="00BA6E48" w:rsidRPr="002965EC">
          <w:rPr>
            <w:rStyle w:val="Hyperlink"/>
            <w:rFonts w:ascii="Arial" w:hAnsi="Arial" w:cs="Arial"/>
            <w:noProof/>
          </w:rPr>
          <w:t>4.1</w:t>
        </w:r>
        <w:r w:rsidR="00BA6E48" w:rsidRPr="002965EC">
          <w:rPr>
            <w:rFonts w:ascii="Arial" w:hAnsi="Arial" w:cs="Arial"/>
            <w:noProof/>
          </w:rPr>
          <w:tab/>
        </w:r>
        <w:r w:rsidR="00BA6E48" w:rsidRPr="002965EC">
          <w:rPr>
            <w:rStyle w:val="Hyperlink"/>
            <w:rFonts w:ascii="Arial" w:hAnsi="Arial" w:cs="Arial"/>
            <w:noProof/>
          </w:rPr>
          <w:t>International Level</w:t>
        </w:r>
        <w:r w:rsidR="00BA6E48" w:rsidRPr="002965EC">
          <w:rPr>
            <w:rFonts w:ascii="Arial" w:hAnsi="Arial" w:cs="Arial"/>
            <w:noProof/>
            <w:webHidden/>
          </w:rPr>
          <w:tab/>
        </w:r>
        <w:r w:rsidR="00F85614">
          <w:rPr>
            <w:rFonts w:ascii="Arial" w:hAnsi="Arial" w:cs="Arial"/>
            <w:noProof/>
            <w:webHidden/>
          </w:rPr>
          <w:t>26</w:t>
        </w:r>
      </w:hyperlink>
    </w:p>
    <w:p w14:paraId="082F238A" w14:textId="79087F44" w:rsidR="00BA6E48" w:rsidRPr="002965EC" w:rsidRDefault="00D430A7">
      <w:pPr>
        <w:pStyle w:val="TOC2"/>
        <w:tabs>
          <w:tab w:val="left" w:pos="880"/>
          <w:tab w:val="right" w:leader="dot" w:pos="9350"/>
        </w:tabs>
        <w:rPr>
          <w:rFonts w:ascii="Arial" w:hAnsi="Arial" w:cs="Arial"/>
          <w:noProof/>
        </w:rPr>
      </w:pPr>
      <w:hyperlink w:anchor="_Toc2094124" w:history="1">
        <w:r w:rsidR="00BA6E48" w:rsidRPr="002965EC">
          <w:rPr>
            <w:rStyle w:val="Hyperlink"/>
            <w:rFonts w:ascii="Arial" w:hAnsi="Arial" w:cs="Arial"/>
            <w:noProof/>
          </w:rPr>
          <w:t>4.2</w:t>
        </w:r>
        <w:r w:rsidR="00BA6E48" w:rsidRPr="002965EC">
          <w:rPr>
            <w:rFonts w:ascii="Arial" w:hAnsi="Arial" w:cs="Arial"/>
            <w:noProof/>
          </w:rPr>
          <w:tab/>
        </w:r>
        <w:r w:rsidR="00BA6E48" w:rsidRPr="002965EC">
          <w:rPr>
            <w:rStyle w:val="Hyperlink"/>
            <w:rFonts w:ascii="Arial" w:hAnsi="Arial" w:cs="Arial"/>
            <w:noProof/>
          </w:rPr>
          <w:t>Regional Level</w:t>
        </w:r>
        <w:r w:rsidR="00BA6E48" w:rsidRPr="002965EC">
          <w:rPr>
            <w:rFonts w:ascii="Arial" w:hAnsi="Arial" w:cs="Arial"/>
            <w:noProof/>
            <w:webHidden/>
          </w:rPr>
          <w:tab/>
        </w:r>
        <w:r w:rsidR="00F85614">
          <w:rPr>
            <w:rFonts w:ascii="Arial" w:hAnsi="Arial" w:cs="Arial"/>
            <w:noProof/>
            <w:webHidden/>
          </w:rPr>
          <w:t>26</w:t>
        </w:r>
      </w:hyperlink>
    </w:p>
    <w:p w14:paraId="13732846" w14:textId="083BF7A7" w:rsidR="00BA6E48" w:rsidRPr="002965EC" w:rsidRDefault="00D430A7">
      <w:pPr>
        <w:pStyle w:val="TOC2"/>
        <w:tabs>
          <w:tab w:val="left" w:pos="880"/>
          <w:tab w:val="right" w:leader="dot" w:pos="9350"/>
        </w:tabs>
        <w:rPr>
          <w:rFonts w:ascii="Arial" w:hAnsi="Arial" w:cs="Arial"/>
          <w:noProof/>
        </w:rPr>
      </w:pPr>
      <w:hyperlink w:anchor="_Toc2094125" w:history="1">
        <w:r w:rsidR="00BA6E48" w:rsidRPr="002965EC">
          <w:rPr>
            <w:rStyle w:val="Hyperlink"/>
            <w:rFonts w:ascii="Arial" w:hAnsi="Arial" w:cs="Arial"/>
            <w:noProof/>
          </w:rPr>
          <w:t>4.3</w:t>
        </w:r>
        <w:r w:rsidR="00BA6E48" w:rsidRPr="002965EC">
          <w:rPr>
            <w:rFonts w:ascii="Arial" w:hAnsi="Arial" w:cs="Arial"/>
            <w:noProof/>
          </w:rPr>
          <w:tab/>
        </w:r>
        <w:r w:rsidR="00BA6E48" w:rsidRPr="002965EC">
          <w:rPr>
            <w:rStyle w:val="Hyperlink"/>
            <w:rFonts w:ascii="Arial" w:hAnsi="Arial" w:cs="Arial"/>
            <w:noProof/>
          </w:rPr>
          <w:t>National Level</w:t>
        </w:r>
        <w:r w:rsidR="00BA6E48" w:rsidRPr="002965EC">
          <w:rPr>
            <w:rFonts w:ascii="Arial" w:hAnsi="Arial" w:cs="Arial"/>
            <w:noProof/>
            <w:webHidden/>
          </w:rPr>
          <w:tab/>
        </w:r>
        <w:r w:rsidR="00F85614">
          <w:rPr>
            <w:rFonts w:ascii="Arial" w:hAnsi="Arial" w:cs="Arial"/>
            <w:noProof/>
            <w:webHidden/>
          </w:rPr>
          <w:t>26</w:t>
        </w:r>
      </w:hyperlink>
    </w:p>
    <w:p w14:paraId="43DCAF51" w14:textId="53AFABA7" w:rsidR="00BA6E48" w:rsidRPr="002965EC" w:rsidRDefault="00D430A7">
      <w:pPr>
        <w:pStyle w:val="TOC1"/>
        <w:tabs>
          <w:tab w:val="left" w:pos="480"/>
          <w:tab w:val="right" w:leader="dot" w:pos="9350"/>
        </w:tabs>
        <w:rPr>
          <w:rFonts w:ascii="Arial" w:hAnsi="Arial" w:cs="Arial"/>
          <w:noProof/>
        </w:rPr>
      </w:pPr>
      <w:hyperlink w:anchor="_Toc2094126" w:history="1">
        <w:r w:rsidR="00BA6E48" w:rsidRPr="002965EC">
          <w:rPr>
            <w:rStyle w:val="Hyperlink"/>
            <w:rFonts w:ascii="Arial" w:hAnsi="Arial" w:cs="Arial"/>
            <w:noProof/>
          </w:rPr>
          <w:t>5</w:t>
        </w:r>
        <w:r w:rsidR="00BA6E48" w:rsidRPr="002965EC">
          <w:rPr>
            <w:rFonts w:ascii="Arial" w:hAnsi="Arial" w:cs="Arial"/>
            <w:noProof/>
          </w:rPr>
          <w:tab/>
        </w:r>
        <w:r w:rsidR="00BA6E48" w:rsidRPr="002965EC">
          <w:rPr>
            <w:rStyle w:val="Hyperlink"/>
            <w:rFonts w:ascii="Arial" w:hAnsi="Arial" w:cs="Arial"/>
            <w:noProof/>
          </w:rPr>
          <w:t>PROGRESS MADE</w:t>
        </w:r>
        <w:r w:rsidR="00BA6E48" w:rsidRPr="002965EC">
          <w:rPr>
            <w:rFonts w:ascii="Arial" w:hAnsi="Arial" w:cs="Arial"/>
            <w:noProof/>
            <w:webHidden/>
          </w:rPr>
          <w:tab/>
        </w:r>
        <w:r w:rsidR="00F85614">
          <w:rPr>
            <w:rFonts w:ascii="Arial" w:hAnsi="Arial" w:cs="Arial"/>
            <w:noProof/>
            <w:webHidden/>
          </w:rPr>
          <w:t>27</w:t>
        </w:r>
      </w:hyperlink>
    </w:p>
    <w:p w14:paraId="043E7E83" w14:textId="60C60F1B" w:rsidR="00BA6E48" w:rsidRPr="002965EC" w:rsidRDefault="00D430A7">
      <w:pPr>
        <w:pStyle w:val="TOC2"/>
        <w:tabs>
          <w:tab w:val="left" w:pos="880"/>
          <w:tab w:val="right" w:leader="dot" w:pos="9350"/>
        </w:tabs>
        <w:rPr>
          <w:rFonts w:ascii="Arial" w:hAnsi="Arial" w:cs="Arial"/>
          <w:noProof/>
        </w:rPr>
      </w:pPr>
      <w:hyperlink w:anchor="_Toc2094127" w:history="1">
        <w:r w:rsidR="00BA6E48" w:rsidRPr="002965EC">
          <w:rPr>
            <w:rStyle w:val="Hyperlink"/>
            <w:rFonts w:ascii="Arial" w:hAnsi="Arial" w:cs="Arial"/>
            <w:noProof/>
          </w:rPr>
          <w:t>5.1</w:t>
        </w:r>
        <w:r w:rsidR="00BA6E48" w:rsidRPr="002965EC">
          <w:rPr>
            <w:rFonts w:ascii="Arial" w:hAnsi="Arial" w:cs="Arial"/>
            <w:noProof/>
          </w:rPr>
          <w:tab/>
        </w:r>
        <w:r w:rsidR="00B64671" w:rsidRPr="002965EC">
          <w:rPr>
            <w:rStyle w:val="Hyperlink"/>
            <w:rFonts w:ascii="Arial" w:hAnsi="Arial" w:cs="Arial"/>
            <w:noProof/>
          </w:rPr>
          <w:t>Social protection systems for gender equality and the empowerment of women and girls</w:t>
        </w:r>
        <w:r w:rsidR="00BA6E48" w:rsidRPr="002965EC">
          <w:rPr>
            <w:rFonts w:ascii="Arial" w:hAnsi="Arial" w:cs="Arial"/>
            <w:noProof/>
            <w:webHidden/>
          </w:rPr>
          <w:tab/>
        </w:r>
        <w:r w:rsidR="007950C6">
          <w:rPr>
            <w:rFonts w:ascii="Arial" w:hAnsi="Arial" w:cs="Arial"/>
            <w:noProof/>
            <w:webHidden/>
          </w:rPr>
          <w:t>27</w:t>
        </w:r>
      </w:hyperlink>
    </w:p>
    <w:p w14:paraId="6C881106" w14:textId="6EFB0C5E" w:rsidR="00BA6E48" w:rsidRPr="002965EC" w:rsidRDefault="00D430A7">
      <w:pPr>
        <w:pStyle w:val="TOC2"/>
        <w:tabs>
          <w:tab w:val="left" w:pos="880"/>
          <w:tab w:val="right" w:leader="dot" w:pos="9350"/>
        </w:tabs>
        <w:rPr>
          <w:rFonts w:ascii="Arial" w:hAnsi="Arial" w:cs="Arial"/>
          <w:noProof/>
        </w:rPr>
      </w:pPr>
      <w:hyperlink w:anchor="_Toc2094128" w:history="1">
        <w:r w:rsidR="00BA6E48" w:rsidRPr="002965EC">
          <w:rPr>
            <w:rStyle w:val="Hyperlink"/>
            <w:rFonts w:ascii="Arial" w:hAnsi="Arial" w:cs="Arial"/>
            <w:noProof/>
          </w:rPr>
          <w:t>5.2</w:t>
        </w:r>
        <w:r w:rsidR="00BA6E48" w:rsidRPr="002965EC">
          <w:rPr>
            <w:rFonts w:ascii="Arial" w:hAnsi="Arial" w:cs="Arial"/>
            <w:noProof/>
          </w:rPr>
          <w:tab/>
        </w:r>
        <w:r w:rsidR="00B64671" w:rsidRPr="002965EC">
          <w:rPr>
            <w:rStyle w:val="Hyperlink"/>
            <w:rFonts w:ascii="Arial" w:hAnsi="Arial" w:cs="Arial"/>
            <w:noProof/>
          </w:rPr>
          <w:t>Access to public services for gender equality and the empowerment of women and girls</w:t>
        </w:r>
        <w:r w:rsidR="00BA6E48" w:rsidRPr="002965EC">
          <w:rPr>
            <w:rFonts w:ascii="Arial" w:hAnsi="Arial" w:cs="Arial"/>
            <w:noProof/>
            <w:webHidden/>
          </w:rPr>
          <w:tab/>
        </w:r>
        <w:r w:rsidR="007950C6">
          <w:rPr>
            <w:rFonts w:ascii="Arial" w:hAnsi="Arial" w:cs="Arial"/>
            <w:noProof/>
            <w:webHidden/>
          </w:rPr>
          <w:t>36</w:t>
        </w:r>
      </w:hyperlink>
    </w:p>
    <w:p w14:paraId="3B01FE2E" w14:textId="3026022C" w:rsidR="00BA6E48" w:rsidRPr="002965EC" w:rsidRDefault="00D430A7">
      <w:pPr>
        <w:pStyle w:val="TOC2"/>
        <w:tabs>
          <w:tab w:val="left" w:pos="880"/>
          <w:tab w:val="right" w:leader="dot" w:pos="9350"/>
        </w:tabs>
        <w:rPr>
          <w:rFonts w:ascii="Arial" w:hAnsi="Arial" w:cs="Arial"/>
          <w:noProof/>
        </w:rPr>
      </w:pPr>
      <w:hyperlink w:anchor="_Toc2094129" w:history="1">
        <w:r w:rsidR="00BA6E48" w:rsidRPr="002965EC">
          <w:rPr>
            <w:rStyle w:val="Hyperlink"/>
            <w:rFonts w:ascii="Arial" w:hAnsi="Arial" w:cs="Arial"/>
            <w:noProof/>
          </w:rPr>
          <w:t>5.3</w:t>
        </w:r>
        <w:r w:rsidR="00BA6E48" w:rsidRPr="002965EC">
          <w:rPr>
            <w:rFonts w:ascii="Arial" w:hAnsi="Arial" w:cs="Arial"/>
            <w:noProof/>
          </w:rPr>
          <w:tab/>
        </w:r>
        <w:r w:rsidR="00B64671" w:rsidRPr="002965EC">
          <w:rPr>
            <w:rStyle w:val="Hyperlink"/>
            <w:rFonts w:ascii="Arial" w:hAnsi="Arial" w:cs="Arial"/>
            <w:noProof/>
          </w:rPr>
          <w:t>Access to sustainable infrastructure for gender equality and the empowerment of women and girls</w:t>
        </w:r>
        <w:r w:rsidR="00BA6E48" w:rsidRPr="002965EC">
          <w:rPr>
            <w:rFonts w:ascii="Arial" w:hAnsi="Arial" w:cs="Arial"/>
            <w:noProof/>
            <w:webHidden/>
          </w:rPr>
          <w:tab/>
        </w:r>
        <w:r w:rsidR="007950C6">
          <w:rPr>
            <w:rFonts w:ascii="Arial" w:hAnsi="Arial" w:cs="Arial"/>
            <w:noProof/>
            <w:webHidden/>
          </w:rPr>
          <w:t>48</w:t>
        </w:r>
      </w:hyperlink>
    </w:p>
    <w:p w14:paraId="5680ECDF" w14:textId="0278D9B5" w:rsidR="00BA6E48" w:rsidRDefault="00D430A7">
      <w:pPr>
        <w:pStyle w:val="TOC2"/>
        <w:tabs>
          <w:tab w:val="left" w:pos="880"/>
          <w:tab w:val="right" w:leader="dot" w:pos="9350"/>
        </w:tabs>
        <w:rPr>
          <w:rFonts w:ascii="Arial" w:hAnsi="Arial" w:cs="Arial"/>
          <w:noProof/>
        </w:rPr>
      </w:pPr>
      <w:hyperlink w:anchor="_Toc2094130" w:history="1">
        <w:r w:rsidR="00BA6E48" w:rsidRPr="002965EC">
          <w:rPr>
            <w:rStyle w:val="Hyperlink"/>
            <w:rFonts w:ascii="Arial" w:hAnsi="Arial" w:cs="Arial"/>
            <w:noProof/>
          </w:rPr>
          <w:t>5.4</w:t>
        </w:r>
        <w:r w:rsidR="00BA6E48" w:rsidRPr="002965EC">
          <w:rPr>
            <w:rFonts w:ascii="Arial" w:hAnsi="Arial" w:cs="Arial"/>
            <w:noProof/>
          </w:rPr>
          <w:tab/>
        </w:r>
        <w:r w:rsidR="00B64671" w:rsidRPr="002965EC">
          <w:rPr>
            <w:rStyle w:val="Hyperlink"/>
            <w:rFonts w:ascii="Arial" w:hAnsi="Arial" w:cs="Arial"/>
            <w:noProof/>
          </w:rPr>
          <w:t>Social protection, access to public services and sustainable infrastructure for gender equality and the empowerment of women and girls</w:t>
        </w:r>
        <w:r w:rsidR="00BA6E48" w:rsidRPr="002965EC">
          <w:rPr>
            <w:rFonts w:ascii="Arial" w:hAnsi="Arial" w:cs="Arial"/>
            <w:noProof/>
            <w:webHidden/>
          </w:rPr>
          <w:tab/>
        </w:r>
        <w:r w:rsidR="007950C6">
          <w:rPr>
            <w:rFonts w:ascii="Arial" w:hAnsi="Arial" w:cs="Arial"/>
            <w:noProof/>
            <w:webHidden/>
          </w:rPr>
          <w:t>54</w:t>
        </w:r>
      </w:hyperlink>
    </w:p>
    <w:p w14:paraId="6C475A35" w14:textId="77777777" w:rsidR="00D430A7" w:rsidRDefault="00D430A7" w:rsidP="00D430A7"/>
    <w:p w14:paraId="085C8A22" w14:textId="77777777" w:rsidR="00D430A7" w:rsidRDefault="00D430A7" w:rsidP="00D430A7"/>
    <w:p w14:paraId="7144A4EE" w14:textId="77777777" w:rsidR="007950C6" w:rsidRPr="00D430A7" w:rsidRDefault="007950C6" w:rsidP="00D430A7"/>
    <w:p w14:paraId="2B0C0FC3" w14:textId="0EE56C56" w:rsidR="00BA6E48" w:rsidRPr="002965EC" w:rsidRDefault="00D430A7">
      <w:pPr>
        <w:pStyle w:val="TOC1"/>
        <w:tabs>
          <w:tab w:val="left" w:pos="480"/>
          <w:tab w:val="right" w:leader="dot" w:pos="9350"/>
        </w:tabs>
        <w:rPr>
          <w:rFonts w:ascii="Arial" w:hAnsi="Arial" w:cs="Arial"/>
          <w:noProof/>
        </w:rPr>
      </w:pPr>
      <w:hyperlink w:anchor="_Toc2094131" w:history="1">
        <w:r w:rsidR="00BA6E48" w:rsidRPr="002965EC">
          <w:rPr>
            <w:rStyle w:val="Hyperlink"/>
            <w:rFonts w:ascii="Arial" w:hAnsi="Arial" w:cs="Arial"/>
            <w:noProof/>
          </w:rPr>
          <w:t>6</w:t>
        </w:r>
        <w:r w:rsidR="00BA6E48" w:rsidRPr="002965EC">
          <w:rPr>
            <w:rFonts w:ascii="Arial" w:hAnsi="Arial" w:cs="Arial"/>
            <w:noProof/>
          </w:rPr>
          <w:tab/>
        </w:r>
        <w:r w:rsidR="00BA6E48" w:rsidRPr="002965EC">
          <w:rPr>
            <w:rStyle w:val="Hyperlink"/>
            <w:rFonts w:ascii="Arial" w:hAnsi="Arial" w:cs="Arial"/>
            <w:noProof/>
          </w:rPr>
          <w:t>CHALLENGES AND OPPORTUNITIES</w:t>
        </w:r>
        <w:r w:rsidR="00BA6E48" w:rsidRPr="002965EC">
          <w:rPr>
            <w:rFonts w:ascii="Arial" w:hAnsi="Arial" w:cs="Arial"/>
            <w:noProof/>
            <w:webHidden/>
          </w:rPr>
          <w:tab/>
        </w:r>
        <w:r w:rsidR="007950C6">
          <w:rPr>
            <w:rFonts w:ascii="Arial" w:hAnsi="Arial" w:cs="Arial"/>
            <w:noProof/>
            <w:webHidden/>
          </w:rPr>
          <w:t>55</w:t>
        </w:r>
      </w:hyperlink>
    </w:p>
    <w:p w14:paraId="08C58323" w14:textId="36DB1E54" w:rsidR="00BA6E48" w:rsidRPr="002965EC" w:rsidRDefault="00D430A7">
      <w:pPr>
        <w:pStyle w:val="TOC2"/>
        <w:tabs>
          <w:tab w:val="left" w:pos="880"/>
          <w:tab w:val="right" w:leader="dot" w:pos="9350"/>
        </w:tabs>
        <w:rPr>
          <w:rFonts w:ascii="Arial" w:hAnsi="Arial" w:cs="Arial"/>
          <w:noProof/>
        </w:rPr>
      </w:pPr>
      <w:hyperlink w:anchor="_Toc2094132" w:history="1">
        <w:r w:rsidR="00BA6E48" w:rsidRPr="002965EC">
          <w:rPr>
            <w:rStyle w:val="Hyperlink"/>
            <w:rFonts w:ascii="Arial" w:hAnsi="Arial" w:cs="Arial"/>
            <w:noProof/>
          </w:rPr>
          <w:t>6.1</w:t>
        </w:r>
        <w:r w:rsidR="00BA6E48" w:rsidRPr="002965EC">
          <w:rPr>
            <w:rFonts w:ascii="Arial" w:hAnsi="Arial" w:cs="Arial"/>
            <w:noProof/>
          </w:rPr>
          <w:tab/>
        </w:r>
        <w:r w:rsidR="00B64671" w:rsidRPr="002965EC">
          <w:rPr>
            <w:rStyle w:val="Hyperlink"/>
            <w:rFonts w:ascii="Arial" w:hAnsi="Arial" w:cs="Arial"/>
            <w:noProof/>
          </w:rPr>
          <w:t>Legislation and policy</w:t>
        </w:r>
        <w:r w:rsidR="00BA6E48" w:rsidRPr="002965EC">
          <w:rPr>
            <w:rFonts w:ascii="Arial" w:hAnsi="Arial" w:cs="Arial"/>
            <w:noProof/>
            <w:webHidden/>
          </w:rPr>
          <w:tab/>
        </w:r>
        <w:r w:rsidR="007950C6">
          <w:rPr>
            <w:rFonts w:ascii="Arial" w:hAnsi="Arial" w:cs="Arial"/>
            <w:noProof/>
            <w:webHidden/>
          </w:rPr>
          <w:t>56</w:t>
        </w:r>
      </w:hyperlink>
    </w:p>
    <w:p w14:paraId="1C447A48" w14:textId="545ACF31" w:rsidR="00BA6E48" w:rsidRPr="002965EC" w:rsidRDefault="00D430A7">
      <w:pPr>
        <w:pStyle w:val="TOC2"/>
        <w:tabs>
          <w:tab w:val="left" w:pos="880"/>
          <w:tab w:val="right" w:leader="dot" w:pos="9350"/>
        </w:tabs>
        <w:rPr>
          <w:rFonts w:ascii="Arial" w:hAnsi="Arial" w:cs="Arial"/>
          <w:noProof/>
        </w:rPr>
      </w:pPr>
      <w:hyperlink w:anchor="_Toc2094133" w:history="1">
        <w:r w:rsidR="00BA6E48" w:rsidRPr="002965EC">
          <w:rPr>
            <w:rStyle w:val="Hyperlink"/>
            <w:rFonts w:ascii="Arial" w:hAnsi="Arial" w:cs="Arial"/>
            <w:noProof/>
          </w:rPr>
          <w:t>6.2</w:t>
        </w:r>
        <w:r w:rsidR="00BA6E48" w:rsidRPr="002965EC">
          <w:rPr>
            <w:rFonts w:ascii="Arial" w:hAnsi="Arial" w:cs="Arial"/>
            <w:noProof/>
          </w:rPr>
          <w:tab/>
        </w:r>
        <w:r w:rsidR="00B64671" w:rsidRPr="002965EC">
          <w:rPr>
            <w:rStyle w:val="Hyperlink"/>
            <w:rFonts w:ascii="Arial" w:hAnsi="Arial" w:cs="Arial"/>
            <w:noProof/>
          </w:rPr>
          <w:t>Budgeting and Funding</w:t>
        </w:r>
        <w:r w:rsidR="00BA6E48" w:rsidRPr="002965EC">
          <w:rPr>
            <w:rFonts w:ascii="Arial" w:hAnsi="Arial" w:cs="Arial"/>
            <w:noProof/>
            <w:webHidden/>
          </w:rPr>
          <w:tab/>
        </w:r>
        <w:r w:rsidR="007950C6">
          <w:rPr>
            <w:rFonts w:ascii="Arial" w:hAnsi="Arial" w:cs="Arial"/>
            <w:noProof/>
            <w:webHidden/>
          </w:rPr>
          <w:t>56</w:t>
        </w:r>
      </w:hyperlink>
    </w:p>
    <w:p w14:paraId="0A13E836" w14:textId="736DDFDA" w:rsidR="00BA6E48" w:rsidRPr="002965EC" w:rsidRDefault="00D430A7">
      <w:pPr>
        <w:pStyle w:val="TOC2"/>
        <w:tabs>
          <w:tab w:val="left" w:pos="880"/>
          <w:tab w:val="right" w:leader="dot" w:pos="9350"/>
        </w:tabs>
        <w:rPr>
          <w:rFonts w:ascii="Arial" w:hAnsi="Arial" w:cs="Arial"/>
          <w:noProof/>
        </w:rPr>
      </w:pPr>
      <w:hyperlink w:anchor="_Toc2094134" w:history="1">
        <w:r w:rsidR="00BA6E48" w:rsidRPr="002965EC">
          <w:rPr>
            <w:rStyle w:val="Hyperlink"/>
            <w:rFonts w:ascii="Arial" w:hAnsi="Arial" w:cs="Arial"/>
            <w:noProof/>
          </w:rPr>
          <w:t>6.3</w:t>
        </w:r>
        <w:r w:rsidR="00BA6E48" w:rsidRPr="002965EC">
          <w:rPr>
            <w:rFonts w:ascii="Arial" w:hAnsi="Arial" w:cs="Arial"/>
            <w:noProof/>
          </w:rPr>
          <w:tab/>
        </w:r>
        <w:r w:rsidR="00B64671" w:rsidRPr="002965EC">
          <w:rPr>
            <w:rStyle w:val="Hyperlink"/>
            <w:rFonts w:ascii="Arial" w:hAnsi="Arial" w:cs="Arial"/>
            <w:noProof/>
          </w:rPr>
          <w:t>Labour Sector and Markets</w:t>
        </w:r>
        <w:r w:rsidR="00BA6E48" w:rsidRPr="002965EC">
          <w:rPr>
            <w:rFonts w:ascii="Arial" w:hAnsi="Arial" w:cs="Arial"/>
            <w:noProof/>
            <w:webHidden/>
          </w:rPr>
          <w:tab/>
        </w:r>
        <w:r w:rsidR="007950C6">
          <w:rPr>
            <w:rFonts w:ascii="Arial" w:hAnsi="Arial" w:cs="Arial"/>
            <w:noProof/>
            <w:webHidden/>
          </w:rPr>
          <w:t>57</w:t>
        </w:r>
      </w:hyperlink>
    </w:p>
    <w:p w14:paraId="38C0211B" w14:textId="711A96FE" w:rsidR="00BA6E48" w:rsidRPr="002965EC" w:rsidRDefault="00D430A7">
      <w:pPr>
        <w:pStyle w:val="TOC2"/>
        <w:tabs>
          <w:tab w:val="left" w:pos="880"/>
          <w:tab w:val="right" w:leader="dot" w:pos="9350"/>
        </w:tabs>
        <w:rPr>
          <w:rFonts w:ascii="Arial" w:hAnsi="Arial" w:cs="Arial"/>
          <w:noProof/>
        </w:rPr>
      </w:pPr>
      <w:hyperlink w:anchor="_Toc2094135" w:history="1">
        <w:r w:rsidR="00BA6E48" w:rsidRPr="002965EC">
          <w:rPr>
            <w:rStyle w:val="Hyperlink"/>
            <w:rFonts w:ascii="Arial" w:hAnsi="Arial" w:cs="Arial"/>
            <w:noProof/>
          </w:rPr>
          <w:t>6.4</w:t>
        </w:r>
        <w:r w:rsidR="00BA6E48" w:rsidRPr="002965EC">
          <w:rPr>
            <w:rFonts w:ascii="Arial" w:hAnsi="Arial" w:cs="Arial"/>
            <w:noProof/>
          </w:rPr>
          <w:tab/>
        </w:r>
        <w:r w:rsidR="00B64671" w:rsidRPr="002965EC">
          <w:rPr>
            <w:rStyle w:val="Hyperlink"/>
            <w:rFonts w:ascii="Arial" w:hAnsi="Arial" w:cs="Arial"/>
            <w:noProof/>
          </w:rPr>
          <w:t xml:space="preserve">Housing </w:t>
        </w:r>
        <w:r w:rsidR="00BA6E48" w:rsidRPr="002965EC">
          <w:rPr>
            <w:rFonts w:ascii="Arial" w:hAnsi="Arial" w:cs="Arial"/>
            <w:noProof/>
            <w:webHidden/>
          </w:rPr>
          <w:tab/>
        </w:r>
        <w:r w:rsidR="007950C6">
          <w:rPr>
            <w:rFonts w:ascii="Arial" w:hAnsi="Arial" w:cs="Arial"/>
            <w:noProof/>
            <w:webHidden/>
          </w:rPr>
          <w:t>59</w:t>
        </w:r>
      </w:hyperlink>
    </w:p>
    <w:p w14:paraId="3DC2D935" w14:textId="7EB99DB7" w:rsidR="00BA6E48" w:rsidRPr="002965EC" w:rsidRDefault="00D430A7">
      <w:pPr>
        <w:pStyle w:val="TOC2"/>
        <w:tabs>
          <w:tab w:val="left" w:pos="880"/>
          <w:tab w:val="right" w:leader="dot" w:pos="9350"/>
        </w:tabs>
        <w:rPr>
          <w:rFonts w:ascii="Arial" w:hAnsi="Arial" w:cs="Arial"/>
          <w:noProof/>
        </w:rPr>
      </w:pPr>
      <w:hyperlink w:anchor="_Toc2094136" w:history="1">
        <w:r w:rsidR="00BA6E48" w:rsidRPr="002965EC">
          <w:rPr>
            <w:rStyle w:val="Hyperlink"/>
            <w:rFonts w:ascii="Arial" w:hAnsi="Arial" w:cs="Arial"/>
            <w:i/>
            <w:noProof/>
          </w:rPr>
          <w:t>6.5</w:t>
        </w:r>
        <w:r w:rsidR="00BA6E48" w:rsidRPr="002965EC">
          <w:rPr>
            <w:rFonts w:ascii="Arial" w:hAnsi="Arial" w:cs="Arial"/>
            <w:noProof/>
          </w:rPr>
          <w:tab/>
        </w:r>
        <w:r w:rsidR="00B64671" w:rsidRPr="002965EC">
          <w:rPr>
            <w:rStyle w:val="Hyperlink"/>
            <w:rFonts w:ascii="Arial" w:hAnsi="Arial" w:cs="Arial"/>
            <w:noProof/>
          </w:rPr>
          <w:t>Health</w:t>
        </w:r>
        <w:r w:rsidR="00BA6E48" w:rsidRPr="002965EC">
          <w:rPr>
            <w:rFonts w:ascii="Arial" w:hAnsi="Arial" w:cs="Arial"/>
            <w:noProof/>
            <w:webHidden/>
          </w:rPr>
          <w:tab/>
        </w:r>
        <w:r w:rsidR="007950C6">
          <w:rPr>
            <w:rFonts w:ascii="Arial" w:hAnsi="Arial" w:cs="Arial"/>
            <w:noProof/>
            <w:webHidden/>
          </w:rPr>
          <w:t>60</w:t>
        </w:r>
      </w:hyperlink>
    </w:p>
    <w:p w14:paraId="77139C45" w14:textId="1136370D" w:rsidR="00BA6E48" w:rsidRPr="002965EC" w:rsidRDefault="00D430A7">
      <w:pPr>
        <w:pStyle w:val="TOC2"/>
        <w:tabs>
          <w:tab w:val="left" w:pos="880"/>
          <w:tab w:val="right" w:leader="dot" w:pos="9350"/>
        </w:tabs>
        <w:rPr>
          <w:rFonts w:ascii="Arial" w:hAnsi="Arial" w:cs="Arial"/>
          <w:noProof/>
        </w:rPr>
      </w:pPr>
      <w:hyperlink w:anchor="_Toc2094137" w:history="1">
        <w:r w:rsidR="00BA6E48" w:rsidRPr="002965EC">
          <w:rPr>
            <w:rStyle w:val="Hyperlink"/>
            <w:rFonts w:ascii="Arial" w:hAnsi="Arial" w:cs="Arial"/>
            <w:noProof/>
          </w:rPr>
          <w:t>6.6</w:t>
        </w:r>
        <w:r w:rsidR="00BA6E48" w:rsidRPr="002965EC">
          <w:rPr>
            <w:rFonts w:ascii="Arial" w:hAnsi="Arial" w:cs="Arial"/>
            <w:noProof/>
          </w:rPr>
          <w:tab/>
        </w:r>
        <w:r w:rsidR="00B64671" w:rsidRPr="002965EC">
          <w:rPr>
            <w:rStyle w:val="Hyperlink"/>
            <w:rFonts w:ascii="Arial" w:hAnsi="Arial" w:cs="Arial"/>
            <w:noProof/>
          </w:rPr>
          <w:t>Monitoring and Reporting</w:t>
        </w:r>
        <w:r w:rsidR="00BA6E48" w:rsidRPr="002965EC">
          <w:rPr>
            <w:rFonts w:ascii="Arial" w:hAnsi="Arial" w:cs="Arial"/>
            <w:noProof/>
            <w:webHidden/>
          </w:rPr>
          <w:tab/>
        </w:r>
        <w:r w:rsidR="007950C6">
          <w:rPr>
            <w:rFonts w:ascii="Arial" w:hAnsi="Arial" w:cs="Arial"/>
            <w:noProof/>
            <w:webHidden/>
          </w:rPr>
          <w:t>60</w:t>
        </w:r>
      </w:hyperlink>
    </w:p>
    <w:p w14:paraId="465EF0FC" w14:textId="67B96C6C" w:rsidR="00BA6E48" w:rsidRPr="002965EC" w:rsidRDefault="00D430A7">
      <w:pPr>
        <w:pStyle w:val="TOC1"/>
        <w:tabs>
          <w:tab w:val="left" w:pos="480"/>
          <w:tab w:val="right" w:leader="dot" w:pos="9350"/>
        </w:tabs>
        <w:rPr>
          <w:rFonts w:ascii="Arial" w:hAnsi="Arial" w:cs="Arial"/>
          <w:noProof/>
        </w:rPr>
      </w:pPr>
      <w:hyperlink w:anchor="_Toc2094138" w:history="1">
        <w:r w:rsidR="00BA6E48" w:rsidRPr="002965EC">
          <w:rPr>
            <w:rStyle w:val="Hyperlink"/>
            <w:rFonts w:ascii="Arial" w:hAnsi="Arial" w:cs="Arial"/>
            <w:noProof/>
          </w:rPr>
          <w:t>7</w:t>
        </w:r>
        <w:r w:rsidR="00BA6E48" w:rsidRPr="002965EC">
          <w:rPr>
            <w:rFonts w:ascii="Arial" w:hAnsi="Arial" w:cs="Arial"/>
            <w:noProof/>
          </w:rPr>
          <w:tab/>
        </w:r>
        <w:r w:rsidR="00B64671" w:rsidRPr="002965EC">
          <w:rPr>
            <w:rStyle w:val="Hyperlink"/>
            <w:rFonts w:ascii="Arial" w:hAnsi="Arial" w:cs="Arial"/>
            <w:noProof/>
          </w:rPr>
          <w:t>CONCLUSION</w:t>
        </w:r>
        <w:r w:rsidR="00BA6E48" w:rsidRPr="002965EC">
          <w:rPr>
            <w:rFonts w:ascii="Arial" w:hAnsi="Arial" w:cs="Arial"/>
            <w:noProof/>
            <w:webHidden/>
          </w:rPr>
          <w:tab/>
        </w:r>
        <w:r w:rsidR="007950C6">
          <w:rPr>
            <w:rFonts w:ascii="Arial" w:hAnsi="Arial" w:cs="Arial"/>
            <w:noProof/>
            <w:webHidden/>
          </w:rPr>
          <w:t>61</w:t>
        </w:r>
      </w:hyperlink>
    </w:p>
    <w:p w14:paraId="434FDF5E" w14:textId="77777777" w:rsidR="00BA6E48" w:rsidRPr="002965EC" w:rsidRDefault="00BA6E48" w:rsidP="00982D3D">
      <w:pPr>
        <w:pStyle w:val="ListParagraph"/>
        <w:spacing w:after="0" w:line="240" w:lineRule="auto"/>
        <w:rPr>
          <w:rFonts w:ascii="Arial" w:hAnsi="Arial" w:cs="Arial"/>
          <w:b/>
          <w:szCs w:val="24"/>
        </w:rPr>
      </w:pPr>
      <w:r w:rsidRPr="002965EC">
        <w:rPr>
          <w:rFonts w:ascii="Arial" w:hAnsi="Arial" w:cs="Arial"/>
          <w:b/>
          <w:szCs w:val="24"/>
        </w:rPr>
        <w:fldChar w:fldCharType="end"/>
      </w:r>
    </w:p>
    <w:p w14:paraId="6A390199" w14:textId="77777777" w:rsidR="00982D3D" w:rsidRPr="002965EC" w:rsidRDefault="00BA6E48" w:rsidP="00ED288E">
      <w:pPr>
        <w:jc w:val="left"/>
        <w:rPr>
          <w:rFonts w:ascii="Arial" w:hAnsi="Arial" w:cs="Arial"/>
          <w:b/>
          <w:szCs w:val="24"/>
        </w:rPr>
      </w:pPr>
      <w:r w:rsidRPr="002965EC">
        <w:rPr>
          <w:rFonts w:ascii="Arial" w:hAnsi="Arial" w:cs="Arial"/>
          <w:b/>
          <w:szCs w:val="24"/>
        </w:rPr>
        <w:br w:type="page"/>
      </w:r>
    </w:p>
    <w:p w14:paraId="27FF2C5E" w14:textId="77777777" w:rsidR="00BA6E48" w:rsidRPr="002965EC" w:rsidRDefault="00BA6E48" w:rsidP="00BA6E48">
      <w:pPr>
        <w:pStyle w:val="Heading1"/>
        <w:rPr>
          <w:rFonts w:ascii="Arial" w:hAnsi="Arial" w:cs="Arial"/>
          <w:b w:val="0"/>
        </w:rPr>
      </w:pPr>
      <w:bookmarkStart w:id="0" w:name="_Toc2094109"/>
      <w:r w:rsidRPr="002965EC">
        <w:rPr>
          <w:rFonts w:ascii="Arial" w:hAnsi="Arial" w:cs="Arial"/>
        </w:rPr>
        <w:lastRenderedPageBreak/>
        <w:t>INTRODUCTION</w:t>
      </w:r>
      <w:bookmarkEnd w:id="0"/>
    </w:p>
    <w:p w14:paraId="0355C734" w14:textId="77777777" w:rsidR="00BA6E48" w:rsidRPr="002965EC" w:rsidRDefault="00BA6E48" w:rsidP="00BA6E48">
      <w:pPr>
        <w:spacing w:after="0" w:line="240" w:lineRule="auto"/>
        <w:rPr>
          <w:rFonts w:ascii="Arial" w:hAnsi="Arial" w:cs="Arial"/>
          <w:b/>
          <w:szCs w:val="24"/>
        </w:rPr>
      </w:pPr>
    </w:p>
    <w:p w14:paraId="0CC7BA16" w14:textId="77777777" w:rsidR="0024411F" w:rsidRPr="002965EC" w:rsidRDefault="00760298" w:rsidP="001C47BE">
      <w:pPr>
        <w:rPr>
          <w:rFonts w:ascii="Arial" w:hAnsi="Arial" w:cs="Arial"/>
        </w:rPr>
      </w:pPr>
      <w:r w:rsidRPr="002965EC">
        <w:rPr>
          <w:rFonts w:ascii="Arial" w:hAnsi="Arial" w:cs="Arial"/>
        </w:rPr>
        <w:t xml:space="preserve">This is a country </w:t>
      </w:r>
      <w:r w:rsidR="0024411F" w:rsidRPr="002965EC">
        <w:rPr>
          <w:rFonts w:ascii="Arial" w:hAnsi="Arial" w:cs="Arial"/>
        </w:rPr>
        <w:t xml:space="preserve">report developed in preparation for South Africa’s participation at the </w:t>
      </w:r>
      <w:r w:rsidR="00452538" w:rsidRPr="002965EC">
        <w:rPr>
          <w:rFonts w:ascii="Arial" w:hAnsi="Arial" w:cs="Arial"/>
        </w:rPr>
        <w:t>sixty third</w:t>
      </w:r>
      <w:r w:rsidR="002702CE" w:rsidRPr="002965EC">
        <w:rPr>
          <w:rFonts w:ascii="Arial" w:hAnsi="Arial" w:cs="Arial"/>
        </w:rPr>
        <w:t xml:space="preserve"> session of the United Nations Commission on the Status of Women (CSW</w:t>
      </w:r>
      <w:r w:rsidR="0024411F" w:rsidRPr="002965EC">
        <w:rPr>
          <w:rFonts w:ascii="Arial" w:hAnsi="Arial" w:cs="Arial"/>
        </w:rPr>
        <w:t>63</w:t>
      </w:r>
      <w:r w:rsidR="002702CE" w:rsidRPr="002965EC">
        <w:rPr>
          <w:rFonts w:ascii="Arial" w:hAnsi="Arial" w:cs="Arial"/>
        </w:rPr>
        <w:t>)</w:t>
      </w:r>
      <w:r w:rsidRPr="002965EC">
        <w:rPr>
          <w:rFonts w:ascii="Arial" w:hAnsi="Arial" w:cs="Arial"/>
        </w:rPr>
        <w:t xml:space="preserve">, which </w:t>
      </w:r>
      <w:r w:rsidR="002702CE" w:rsidRPr="002965EC">
        <w:rPr>
          <w:rFonts w:ascii="Arial" w:hAnsi="Arial" w:cs="Arial"/>
        </w:rPr>
        <w:t>is scheduled to take place at the UN Headquarters in New York from 1</w:t>
      </w:r>
      <w:r w:rsidR="00452538" w:rsidRPr="002965EC">
        <w:rPr>
          <w:rFonts w:ascii="Arial" w:hAnsi="Arial" w:cs="Arial"/>
        </w:rPr>
        <w:t>1</w:t>
      </w:r>
      <w:r w:rsidR="002702CE" w:rsidRPr="002965EC">
        <w:rPr>
          <w:rFonts w:ascii="Arial" w:hAnsi="Arial" w:cs="Arial"/>
        </w:rPr>
        <w:t xml:space="preserve"> to 2</w:t>
      </w:r>
      <w:r w:rsidR="00452538" w:rsidRPr="002965EC">
        <w:rPr>
          <w:rFonts w:ascii="Arial" w:hAnsi="Arial" w:cs="Arial"/>
        </w:rPr>
        <w:t>2</w:t>
      </w:r>
      <w:r w:rsidR="002702CE" w:rsidRPr="002965EC">
        <w:rPr>
          <w:rFonts w:ascii="Arial" w:hAnsi="Arial" w:cs="Arial"/>
        </w:rPr>
        <w:t xml:space="preserve"> March 201</w:t>
      </w:r>
      <w:r w:rsidR="00452538" w:rsidRPr="002965EC">
        <w:rPr>
          <w:rFonts w:ascii="Arial" w:hAnsi="Arial" w:cs="Arial"/>
        </w:rPr>
        <w:t>9</w:t>
      </w:r>
      <w:r w:rsidRPr="002965EC">
        <w:rPr>
          <w:rFonts w:ascii="Arial" w:hAnsi="Arial" w:cs="Arial"/>
        </w:rPr>
        <w:t>. R</w:t>
      </w:r>
      <w:r w:rsidR="002702CE" w:rsidRPr="002965EC">
        <w:rPr>
          <w:rFonts w:ascii="Arial" w:hAnsi="Arial" w:cs="Arial"/>
        </w:rPr>
        <w:t>epresentatives of UN Member States, UN Entities and NGOs accredited by the UN</w:t>
      </w:r>
      <w:r w:rsidR="003D5B7E" w:rsidRPr="002965EC">
        <w:rPr>
          <w:rFonts w:ascii="Arial" w:hAnsi="Arial" w:cs="Arial"/>
        </w:rPr>
        <w:t xml:space="preserve"> from all regions of the globe </w:t>
      </w:r>
      <w:r w:rsidR="0024411F" w:rsidRPr="002965EC">
        <w:rPr>
          <w:rFonts w:ascii="Arial" w:hAnsi="Arial" w:cs="Arial"/>
        </w:rPr>
        <w:t>are expected to</w:t>
      </w:r>
      <w:r w:rsidR="003D5B7E" w:rsidRPr="002965EC">
        <w:rPr>
          <w:rFonts w:ascii="Arial" w:hAnsi="Arial" w:cs="Arial"/>
        </w:rPr>
        <w:t xml:space="preserve"> participate</w:t>
      </w:r>
      <w:r w:rsidR="0024411F" w:rsidRPr="002965EC">
        <w:rPr>
          <w:rFonts w:ascii="Arial" w:hAnsi="Arial" w:cs="Arial"/>
        </w:rPr>
        <w:t xml:space="preserve"> in the CSW, which is the main global policy making body </w:t>
      </w:r>
      <w:r w:rsidR="00894555" w:rsidRPr="002965EC">
        <w:rPr>
          <w:rFonts w:ascii="Arial" w:hAnsi="Arial" w:cs="Arial"/>
        </w:rPr>
        <w:t xml:space="preserve">on gender equality and women’s empowerment.  </w:t>
      </w:r>
    </w:p>
    <w:p w14:paraId="653A8733" w14:textId="77777777" w:rsidR="003D5B7E" w:rsidRPr="002965EC" w:rsidRDefault="00894555" w:rsidP="001C47BE">
      <w:pPr>
        <w:rPr>
          <w:rFonts w:ascii="Arial" w:hAnsi="Arial" w:cs="Arial"/>
        </w:rPr>
      </w:pPr>
      <w:r w:rsidRPr="002965EC">
        <w:rPr>
          <w:rFonts w:ascii="Arial" w:hAnsi="Arial" w:cs="Arial"/>
        </w:rPr>
        <w:t xml:space="preserve">The report </w:t>
      </w:r>
      <w:r w:rsidR="00760298" w:rsidRPr="002965EC">
        <w:rPr>
          <w:rFonts w:ascii="Arial" w:hAnsi="Arial" w:cs="Arial"/>
        </w:rPr>
        <w:t xml:space="preserve">seeks to provide a background to the thematic area under focus </w:t>
      </w:r>
      <w:r w:rsidRPr="002965EC">
        <w:rPr>
          <w:rFonts w:ascii="Arial" w:hAnsi="Arial" w:cs="Arial"/>
        </w:rPr>
        <w:t xml:space="preserve">and provide an overview of </w:t>
      </w:r>
      <w:r w:rsidR="00760298" w:rsidRPr="002965EC">
        <w:rPr>
          <w:rFonts w:ascii="Arial" w:hAnsi="Arial" w:cs="Arial"/>
        </w:rPr>
        <w:t>progress by South Africa</w:t>
      </w:r>
      <w:r w:rsidRPr="002965EC">
        <w:rPr>
          <w:rFonts w:ascii="Arial" w:hAnsi="Arial" w:cs="Arial"/>
        </w:rPr>
        <w:t xml:space="preserve"> as well as prospects and challenges</w:t>
      </w:r>
      <w:r w:rsidR="00760298" w:rsidRPr="002965EC">
        <w:rPr>
          <w:rFonts w:ascii="Arial" w:hAnsi="Arial" w:cs="Arial"/>
        </w:rPr>
        <w:t xml:space="preserve"> on </w:t>
      </w:r>
      <w:r w:rsidR="00452538" w:rsidRPr="002965EC">
        <w:rPr>
          <w:rFonts w:ascii="Arial" w:hAnsi="Arial" w:cs="Arial"/>
        </w:rPr>
        <w:t xml:space="preserve">issues of social protection systems, access to public services and sustainable infrastructure for gender equality and the empowerment of </w:t>
      </w:r>
      <w:r w:rsidR="00760298" w:rsidRPr="002965EC">
        <w:rPr>
          <w:rFonts w:ascii="Arial" w:hAnsi="Arial" w:cs="Arial"/>
        </w:rPr>
        <w:t>women and girls</w:t>
      </w:r>
      <w:r w:rsidRPr="002965EC">
        <w:rPr>
          <w:rFonts w:ascii="Arial" w:hAnsi="Arial" w:cs="Arial"/>
        </w:rPr>
        <w:t xml:space="preserve">.  The document will serve as a basis for the position which </w:t>
      </w:r>
      <w:r w:rsidR="00760298" w:rsidRPr="002965EC">
        <w:rPr>
          <w:rFonts w:ascii="Arial" w:hAnsi="Arial" w:cs="Arial"/>
        </w:rPr>
        <w:t xml:space="preserve">the country will adopt at </w:t>
      </w:r>
      <w:r w:rsidRPr="002965EC">
        <w:rPr>
          <w:rFonts w:ascii="Arial" w:hAnsi="Arial" w:cs="Arial"/>
        </w:rPr>
        <w:t xml:space="preserve">CSW63.  </w:t>
      </w:r>
    </w:p>
    <w:p w14:paraId="1161ABFD" w14:textId="77777777" w:rsidR="00462DF1" w:rsidRPr="002965EC" w:rsidRDefault="00462DF1" w:rsidP="00462DF1">
      <w:pPr>
        <w:spacing w:after="0" w:line="240" w:lineRule="auto"/>
        <w:rPr>
          <w:rFonts w:ascii="Arial" w:hAnsi="Arial" w:cs="Arial"/>
          <w:b/>
          <w:szCs w:val="24"/>
        </w:rPr>
      </w:pPr>
    </w:p>
    <w:p w14:paraId="6B0FB112" w14:textId="77777777" w:rsidR="00760298" w:rsidRPr="002965EC" w:rsidRDefault="00760298" w:rsidP="001933ED">
      <w:pPr>
        <w:pStyle w:val="Heading1"/>
        <w:rPr>
          <w:rFonts w:ascii="Arial" w:hAnsi="Arial" w:cs="Arial"/>
        </w:rPr>
      </w:pPr>
      <w:bookmarkStart w:id="1" w:name="_Toc2094110"/>
      <w:r w:rsidRPr="002965EC">
        <w:rPr>
          <w:rFonts w:ascii="Arial" w:hAnsi="Arial" w:cs="Arial"/>
        </w:rPr>
        <w:t>BACKGROUND</w:t>
      </w:r>
      <w:bookmarkEnd w:id="1"/>
      <w:r w:rsidRPr="002965EC">
        <w:rPr>
          <w:rFonts w:ascii="Arial" w:hAnsi="Arial" w:cs="Arial"/>
        </w:rPr>
        <w:t xml:space="preserve"> </w:t>
      </w:r>
    </w:p>
    <w:p w14:paraId="5408E72A" w14:textId="77777777" w:rsidR="00760298" w:rsidRPr="002965EC" w:rsidRDefault="00760298" w:rsidP="002750B1">
      <w:pPr>
        <w:pStyle w:val="ListParagraph"/>
        <w:spacing w:after="0" w:line="240" w:lineRule="auto"/>
        <w:rPr>
          <w:rFonts w:ascii="Arial" w:hAnsi="Arial" w:cs="Arial"/>
          <w:b/>
          <w:szCs w:val="24"/>
        </w:rPr>
      </w:pPr>
    </w:p>
    <w:p w14:paraId="74991830" w14:textId="77777777" w:rsidR="00894555" w:rsidRPr="002965EC" w:rsidRDefault="00D74DAB" w:rsidP="001C47BE">
      <w:pPr>
        <w:rPr>
          <w:rFonts w:ascii="Arial" w:hAnsi="Arial" w:cs="Arial"/>
        </w:rPr>
      </w:pPr>
      <w:r w:rsidRPr="002965EC">
        <w:rPr>
          <w:rFonts w:ascii="Arial" w:hAnsi="Arial" w:cs="Arial"/>
        </w:rPr>
        <w:t>In accordance with its multi-year programme of work (2017-2019), the 63</w:t>
      </w:r>
      <w:r w:rsidRPr="002965EC">
        <w:rPr>
          <w:rFonts w:ascii="Arial" w:hAnsi="Arial" w:cs="Arial"/>
          <w:vertAlign w:val="superscript"/>
        </w:rPr>
        <w:t>rd</w:t>
      </w:r>
      <w:r w:rsidRPr="002965EC">
        <w:rPr>
          <w:rFonts w:ascii="Arial" w:hAnsi="Arial" w:cs="Arial"/>
        </w:rPr>
        <w:t xml:space="preserve"> session of the Commission on the Status of Women (CSW) in 2019 will consider </w:t>
      </w:r>
      <w:r w:rsidRPr="002965EC">
        <w:rPr>
          <w:rFonts w:ascii="Arial" w:hAnsi="Arial" w:cs="Arial"/>
          <w:b/>
        </w:rPr>
        <w:t>“Social protection systems, access to public services and sustainable infrastructure for gender equality and the empowerment of women and girls</w:t>
      </w:r>
      <w:r w:rsidRPr="002965EC">
        <w:rPr>
          <w:rFonts w:ascii="Arial" w:hAnsi="Arial" w:cs="Arial"/>
        </w:rPr>
        <w:t xml:space="preserve">” as its priority theme. </w:t>
      </w:r>
    </w:p>
    <w:p w14:paraId="3041D2CA" w14:textId="77777777" w:rsidR="00D74DAB" w:rsidRPr="002965EC" w:rsidRDefault="00D74DAB" w:rsidP="00D74DAB">
      <w:pPr>
        <w:rPr>
          <w:rFonts w:ascii="Arial" w:hAnsi="Arial" w:cs="Arial"/>
          <w:b/>
        </w:rPr>
      </w:pPr>
      <w:r w:rsidRPr="002965EC">
        <w:rPr>
          <w:rFonts w:ascii="Arial" w:hAnsi="Arial" w:cs="Arial"/>
          <w:szCs w:val="24"/>
        </w:rPr>
        <w:t xml:space="preserve">Social Protection refers to policies and programmes designed to reduce and prevent poverty, vulnerability and social exclusion. Social protection systems usually comprise a number of schemes that provide comprehensive protection across the life course, including child and family benefits, maternity protection, unemployment support, employment injury benefits, sickness benefits, old-age benefits, disability  benefits, and survivor’s benefits as well as access to medical care” (UN Women, 2019). The International </w:t>
      </w:r>
      <w:proofErr w:type="spellStart"/>
      <w:r w:rsidRPr="002965EC">
        <w:rPr>
          <w:rFonts w:ascii="Arial" w:hAnsi="Arial" w:cs="Arial"/>
          <w:szCs w:val="24"/>
        </w:rPr>
        <w:t>Labour</w:t>
      </w:r>
      <w:proofErr w:type="spellEnd"/>
      <w:r w:rsidRPr="002965EC">
        <w:rPr>
          <w:rFonts w:ascii="Arial" w:hAnsi="Arial" w:cs="Arial"/>
          <w:szCs w:val="24"/>
        </w:rPr>
        <w:t xml:space="preserve"> </w:t>
      </w:r>
      <w:proofErr w:type="spellStart"/>
      <w:r w:rsidRPr="002965EC">
        <w:rPr>
          <w:rFonts w:ascii="Arial" w:hAnsi="Arial" w:cs="Arial"/>
          <w:szCs w:val="24"/>
        </w:rPr>
        <w:t>Organisation</w:t>
      </w:r>
      <w:proofErr w:type="spellEnd"/>
      <w:r w:rsidRPr="002965EC">
        <w:rPr>
          <w:rFonts w:ascii="Arial" w:hAnsi="Arial" w:cs="Arial"/>
          <w:szCs w:val="24"/>
        </w:rPr>
        <w:t xml:space="preserve"> (ILO) 2012 (No.202) recommends social protection floors which </w:t>
      </w:r>
      <w:proofErr w:type="spellStart"/>
      <w:r w:rsidRPr="002965EC">
        <w:rPr>
          <w:rFonts w:ascii="Arial" w:hAnsi="Arial" w:cs="Arial"/>
          <w:szCs w:val="24"/>
        </w:rPr>
        <w:t>emphasise</w:t>
      </w:r>
      <w:proofErr w:type="spellEnd"/>
      <w:r w:rsidRPr="002965EC">
        <w:rPr>
          <w:rFonts w:ascii="Arial" w:hAnsi="Arial" w:cs="Arial"/>
          <w:szCs w:val="24"/>
        </w:rPr>
        <w:t xml:space="preserve"> a human rights based approach to social security by providing universal protection, social inclusion and life in dignity; an integrated design of social protection through basic guarantees, flexible structures and coherence of policies and the right to social security as an economic necessity to reduce poverty, more sustainable economy and with growth equity (ILO, 2016). Consequently, globally, governments have made commitments to reach the Sustainable Development Goals (SDG). It is against this background that social protection is embedded in SDG Goal</w:t>
      </w:r>
      <w:r w:rsidR="00892298" w:rsidRPr="002965EC">
        <w:rPr>
          <w:rFonts w:ascii="Arial" w:hAnsi="Arial" w:cs="Arial"/>
          <w:szCs w:val="24"/>
        </w:rPr>
        <w:t xml:space="preserve"> </w:t>
      </w:r>
      <w:r w:rsidRPr="002965EC">
        <w:rPr>
          <w:rFonts w:ascii="Arial" w:hAnsi="Arial" w:cs="Arial"/>
          <w:szCs w:val="24"/>
        </w:rPr>
        <w:t>1:</w:t>
      </w:r>
      <w:r w:rsidR="00894555" w:rsidRPr="002965EC">
        <w:rPr>
          <w:rFonts w:ascii="Arial" w:hAnsi="Arial" w:cs="Arial"/>
          <w:szCs w:val="24"/>
        </w:rPr>
        <w:t xml:space="preserve"> </w:t>
      </w:r>
      <w:r w:rsidRPr="002965EC">
        <w:rPr>
          <w:rFonts w:ascii="Arial" w:hAnsi="Arial" w:cs="Arial"/>
          <w:szCs w:val="24"/>
        </w:rPr>
        <w:t>“End pover</w:t>
      </w:r>
      <w:r w:rsidR="00894555" w:rsidRPr="002965EC">
        <w:rPr>
          <w:rFonts w:ascii="Arial" w:hAnsi="Arial" w:cs="Arial"/>
          <w:szCs w:val="24"/>
        </w:rPr>
        <w:t xml:space="preserve">ty in all its forms everywhere”; </w:t>
      </w:r>
      <w:r w:rsidRPr="002965EC">
        <w:rPr>
          <w:rFonts w:ascii="Arial" w:hAnsi="Arial" w:cs="Arial"/>
          <w:szCs w:val="24"/>
        </w:rPr>
        <w:t xml:space="preserve">Goal 5 </w:t>
      </w:r>
      <w:r w:rsidR="00894555" w:rsidRPr="002965EC">
        <w:rPr>
          <w:rFonts w:ascii="Arial" w:hAnsi="Arial" w:cs="Arial"/>
          <w:szCs w:val="24"/>
        </w:rPr>
        <w:t xml:space="preserve">in relation to </w:t>
      </w:r>
      <w:proofErr w:type="spellStart"/>
      <w:r w:rsidR="00894555" w:rsidRPr="002965EC">
        <w:rPr>
          <w:rFonts w:ascii="Arial" w:hAnsi="Arial" w:cs="Arial"/>
          <w:szCs w:val="24"/>
        </w:rPr>
        <w:t>recognising</w:t>
      </w:r>
      <w:proofErr w:type="spellEnd"/>
      <w:r w:rsidR="00894555" w:rsidRPr="002965EC">
        <w:rPr>
          <w:rFonts w:ascii="Arial" w:hAnsi="Arial" w:cs="Arial"/>
          <w:szCs w:val="24"/>
        </w:rPr>
        <w:t xml:space="preserve"> unpaid care work; </w:t>
      </w:r>
      <w:r w:rsidRPr="002965EC">
        <w:rPr>
          <w:rFonts w:ascii="Arial" w:hAnsi="Arial" w:cs="Arial"/>
          <w:szCs w:val="24"/>
        </w:rPr>
        <w:t xml:space="preserve">Goal 8 </w:t>
      </w:r>
      <w:r w:rsidR="00894555" w:rsidRPr="002965EC">
        <w:rPr>
          <w:rFonts w:ascii="Arial" w:hAnsi="Arial" w:cs="Arial"/>
          <w:szCs w:val="24"/>
        </w:rPr>
        <w:t xml:space="preserve">on </w:t>
      </w:r>
      <w:r w:rsidRPr="002965EC">
        <w:rPr>
          <w:rFonts w:ascii="Arial" w:hAnsi="Arial" w:cs="Arial"/>
          <w:szCs w:val="24"/>
        </w:rPr>
        <w:t>achieving decent w</w:t>
      </w:r>
      <w:r w:rsidR="00894555" w:rsidRPr="002965EC">
        <w:rPr>
          <w:rFonts w:ascii="Arial" w:hAnsi="Arial" w:cs="Arial"/>
          <w:szCs w:val="24"/>
        </w:rPr>
        <w:t>ork (UNWOMEN, 2017) and Goal 10 to</w:t>
      </w:r>
      <w:r w:rsidRPr="002965EC">
        <w:rPr>
          <w:rFonts w:ascii="Arial" w:hAnsi="Arial" w:cs="Arial"/>
          <w:szCs w:val="24"/>
        </w:rPr>
        <w:t xml:space="preserve"> Reduce inequality within and among countries.  </w:t>
      </w:r>
    </w:p>
    <w:p w14:paraId="684051D8" w14:textId="77777777" w:rsidR="00D74DAB" w:rsidRPr="002965EC" w:rsidRDefault="00D74DAB" w:rsidP="00D74DAB">
      <w:pPr>
        <w:spacing w:after="0"/>
        <w:rPr>
          <w:rFonts w:ascii="Arial" w:hAnsi="Arial" w:cs="Arial"/>
          <w:szCs w:val="24"/>
        </w:rPr>
      </w:pPr>
      <w:r w:rsidRPr="002965EC">
        <w:rPr>
          <w:rFonts w:ascii="Arial" w:hAnsi="Arial" w:cs="Arial"/>
          <w:szCs w:val="24"/>
        </w:rPr>
        <w:lastRenderedPageBreak/>
        <w:t xml:space="preserve">More specifically, target 1.3 requires the implementation of nationally appropriate social protection systems and measures for all, including floors, and by 2030 achieve substantial coverage of the poor and the vulnerable, whilst target 3.8 on achieving universal health coverage (UHC), including financial risk protection, access to quality essential health care services, and access to safe, effective, quality, and affordable essential medicines and vaccines for all is essential to access public services. The SDG target 5.4 calls for the recognition and valuing of unpaid care and domestic work through the provision of public services, infrastructure and social protection policies, and the promotion of shared responsibility within the household and the family as nationally appropriate. </w:t>
      </w:r>
      <w:r w:rsidR="00892298" w:rsidRPr="002965EC">
        <w:rPr>
          <w:rFonts w:ascii="Arial" w:hAnsi="Arial" w:cs="Arial"/>
          <w:szCs w:val="24"/>
        </w:rPr>
        <w:t xml:space="preserve">By 2030, </w:t>
      </w:r>
      <w:r w:rsidRPr="002965EC">
        <w:rPr>
          <w:rFonts w:ascii="Arial" w:hAnsi="Arial" w:cs="Arial"/>
          <w:szCs w:val="24"/>
        </w:rPr>
        <w:t xml:space="preserve">SDG target 8.5 </w:t>
      </w:r>
      <w:r w:rsidR="00892298" w:rsidRPr="002965EC">
        <w:rPr>
          <w:rFonts w:ascii="Arial" w:hAnsi="Arial" w:cs="Arial"/>
          <w:szCs w:val="24"/>
        </w:rPr>
        <w:t>aims to</w:t>
      </w:r>
      <w:r w:rsidRPr="002965EC">
        <w:rPr>
          <w:rFonts w:ascii="Arial" w:hAnsi="Arial" w:cs="Arial"/>
          <w:szCs w:val="24"/>
        </w:rPr>
        <w:t xml:space="preserve"> achieve full and productive employment and decent work for all women and men, including for young people and persons with disabilities, and equal pay for work of equal value. Lastly, SDG target 10.4 calls for the adoption of policies, especially fiscal, wage and social protection policies, and progressively achieve greater equality. </w:t>
      </w:r>
    </w:p>
    <w:p w14:paraId="0690A9BB" w14:textId="77777777" w:rsidR="00D74DAB" w:rsidRPr="002965EC" w:rsidRDefault="00D74DAB" w:rsidP="00D74DAB">
      <w:pPr>
        <w:spacing w:after="0"/>
        <w:rPr>
          <w:rFonts w:ascii="Arial" w:hAnsi="Arial" w:cs="Arial"/>
          <w:szCs w:val="24"/>
        </w:rPr>
      </w:pPr>
    </w:p>
    <w:p w14:paraId="76CC31BD" w14:textId="77777777" w:rsidR="00D74DAB" w:rsidRPr="002965EC" w:rsidRDefault="00D74DAB" w:rsidP="00D74DAB">
      <w:pPr>
        <w:spacing w:after="0"/>
        <w:rPr>
          <w:rFonts w:ascii="Arial" w:hAnsi="Arial" w:cs="Arial"/>
          <w:szCs w:val="24"/>
        </w:rPr>
      </w:pPr>
      <w:r w:rsidRPr="002965EC">
        <w:rPr>
          <w:rFonts w:ascii="Arial" w:hAnsi="Arial" w:cs="Arial"/>
          <w:szCs w:val="24"/>
        </w:rPr>
        <w:t xml:space="preserve">The International </w:t>
      </w:r>
      <w:proofErr w:type="spellStart"/>
      <w:r w:rsidRPr="002965EC">
        <w:rPr>
          <w:rFonts w:ascii="Arial" w:hAnsi="Arial" w:cs="Arial"/>
          <w:szCs w:val="24"/>
        </w:rPr>
        <w:t>Labour</w:t>
      </w:r>
      <w:proofErr w:type="spellEnd"/>
      <w:r w:rsidRPr="002965EC">
        <w:rPr>
          <w:rFonts w:ascii="Arial" w:hAnsi="Arial" w:cs="Arial"/>
          <w:szCs w:val="24"/>
        </w:rPr>
        <w:t xml:space="preserve"> </w:t>
      </w:r>
      <w:proofErr w:type="spellStart"/>
      <w:r w:rsidRPr="002965EC">
        <w:rPr>
          <w:rFonts w:ascii="Arial" w:hAnsi="Arial" w:cs="Arial"/>
          <w:szCs w:val="24"/>
        </w:rPr>
        <w:t>Organisation</w:t>
      </w:r>
      <w:proofErr w:type="spellEnd"/>
      <w:r w:rsidRPr="002965EC">
        <w:rPr>
          <w:rFonts w:ascii="Arial" w:hAnsi="Arial" w:cs="Arial"/>
          <w:szCs w:val="24"/>
        </w:rPr>
        <w:t xml:space="preserve"> Convention 1952 (No. 102) sets out minimum standards on social security. However South Africa has not ratified this convention. Notwithstanding, South Africa has progressive policies on soc</w:t>
      </w:r>
      <w:r w:rsidR="00892298" w:rsidRPr="002965EC">
        <w:rPr>
          <w:rFonts w:ascii="Arial" w:hAnsi="Arial" w:cs="Arial"/>
          <w:szCs w:val="24"/>
        </w:rPr>
        <w:t>ial protection. Prior to 1994, s</w:t>
      </w:r>
      <w:r w:rsidRPr="002965EC">
        <w:rPr>
          <w:rFonts w:ascii="Arial" w:hAnsi="Arial" w:cs="Arial"/>
          <w:szCs w:val="24"/>
        </w:rPr>
        <w:t xml:space="preserve">ocial protection in South Africa was a privilege of the white minority through pensions, </w:t>
      </w:r>
      <w:proofErr w:type="spellStart"/>
      <w:r w:rsidRPr="002965EC">
        <w:rPr>
          <w:rFonts w:ascii="Arial" w:hAnsi="Arial" w:cs="Arial"/>
          <w:szCs w:val="24"/>
        </w:rPr>
        <w:t>providend</w:t>
      </w:r>
      <w:proofErr w:type="spellEnd"/>
      <w:r w:rsidRPr="002965EC">
        <w:rPr>
          <w:rFonts w:ascii="Arial" w:hAnsi="Arial" w:cs="Arial"/>
          <w:szCs w:val="24"/>
        </w:rPr>
        <w:t xml:space="preserve"> funds; disability cover and medical aid cover (Di </w:t>
      </w:r>
      <w:proofErr w:type="spellStart"/>
      <w:r w:rsidRPr="002965EC">
        <w:rPr>
          <w:rFonts w:ascii="Arial" w:hAnsi="Arial" w:cs="Arial"/>
          <w:szCs w:val="24"/>
        </w:rPr>
        <w:t>Lollo</w:t>
      </w:r>
      <w:proofErr w:type="spellEnd"/>
      <w:r w:rsidRPr="002965EC">
        <w:rPr>
          <w:rFonts w:ascii="Arial" w:hAnsi="Arial" w:cs="Arial"/>
          <w:szCs w:val="24"/>
        </w:rPr>
        <w:t xml:space="preserve">, 2012). The year 1994, the dawn of </w:t>
      </w:r>
      <w:r w:rsidR="007F5B40" w:rsidRPr="002965EC">
        <w:rPr>
          <w:rFonts w:ascii="Arial" w:hAnsi="Arial" w:cs="Arial"/>
          <w:szCs w:val="24"/>
        </w:rPr>
        <w:t xml:space="preserve">a </w:t>
      </w:r>
      <w:r w:rsidRPr="002965EC">
        <w:rPr>
          <w:rFonts w:ascii="Arial" w:hAnsi="Arial" w:cs="Arial"/>
          <w:szCs w:val="24"/>
        </w:rPr>
        <w:t>democratic South Africa</w:t>
      </w:r>
      <w:r w:rsidR="00892298" w:rsidRPr="002965EC">
        <w:rPr>
          <w:rFonts w:ascii="Arial" w:hAnsi="Arial" w:cs="Arial"/>
          <w:szCs w:val="24"/>
        </w:rPr>
        <w:t>,</w:t>
      </w:r>
      <w:r w:rsidRPr="002965EC">
        <w:rPr>
          <w:rFonts w:ascii="Arial" w:hAnsi="Arial" w:cs="Arial"/>
          <w:szCs w:val="24"/>
        </w:rPr>
        <w:t xml:space="preserve"> marked an important period for the provision and expansion of social security to South Africans. </w:t>
      </w:r>
      <w:proofErr w:type="spellStart"/>
      <w:r w:rsidRPr="002965EC">
        <w:rPr>
          <w:rFonts w:ascii="Arial" w:hAnsi="Arial" w:cs="Arial"/>
          <w:szCs w:val="24"/>
        </w:rPr>
        <w:t>Recognising</w:t>
      </w:r>
      <w:proofErr w:type="spellEnd"/>
      <w:r w:rsidRPr="002965EC">
        <w:rPr>
          <w:rFonts w:ascii="Arial" w:hAnsi="Arial" w:cs="Arial"/>
          <w:szCs w:val="24"/>
        </w:rPr>
        <w:t xml:space="preserve"> social security as a </w:t>
      </w:r>
      <w:r w:rsidR="00892298" w:rsidRPr="002965EC">
        <w:rPr>
          <w:rFonts w:ascii="Arial" w:hAnsi="Arial" w:cs="Arial"/>
          <w:szCs w:val="24"/>
        </w:rPr>
        <w:t>c</w:t>
      </w:r>
      <w:r w:rsidRPr="002965EC">
        <w:rPr>
          <w:rFonts w:ascii="Arial" w:hAnsi="Arial" w:cs="Arial"/>
          <w:szCs w:val="24"/>
        </w:rPr>
        <w:t xml:space="preserve">onstitutional right, in South Africa social security draws on section 27 of the constitution and the country formulated and implements a legislatively derived comprehensive social security/protection system; comprising contributory forms of social insurance and needs-based social assistance, the latter in the form of grants. Consequently social protection is aimed at addressing the triple challenges of poverty, unemployment and inequality. It is also aimed at addressing the history of racial discrimination, denial of opportunities for human, social and economic development. Thus the country paper will largely focus on the programmes that are pro poor. This however does not negate the fact that all citizens must be covered by social protection. </w:t>
      </w:r>
    </w:p>
    <w:p w14:paraId="129D1274" w14:textId="77777777" w:rsidR="00D74DAB" w:rsidRPr="002965EC" w:rsidRDefault="00D74DAB" w:rsidP="00D74DAB">
      <w:pPr>
        <w:spacing w:after="0"/>
        <w:rPr>
          <w:rFonts w:ascii="Arial" w:hAnsi="Arial" w:cs="Arial"/>
          <w:szCs w:val="24"/>
        </w:rPr>
      </w:pPr>
    </w:p>
    <w:p w14:paraId="2ED9AA1C" w14:textId="77777777" w:rsidR="00D74DAB" w:rsidRDefault="00D74DAB" w:rsidP="00D74DAB">
      <w:pPr>
        <w:spacing w:after="0"/>
        <w:rPr>
          <w:rFonts w:ascii="Arial" w:hAnsi="Arial" w:cs="Arial"/>
          <w:szCs w:val="24"/>
          <w:lang w:val="en-ZA"/>
        </w:rPr>
      </w:pPr>
      <w:r w:rsidRPr="002965EC">
        <w:rPr>
          <w:rFonts w:ascii="Arial" w:hAnsi="Arial" w:cs="Arial"/>
          <w:szCs w:val="24"/>
          <w:lang w:val="en-ZA"/>
        </w:rPr>
        <w:t>The National Development Plan (NDP) sets out an inclusive social protection system that addresses all areas of vulnerability, that is responsive to the needs, realities, conditions and livelihoods of those that are most at risk. The NDP relates to South Africa’s economic growth and the ability of the growth initiative to broaden socio-economic transformation in the country by 2030 through the following interventions:</w:t>
      </w:r>
    </w:p>
    <w:p w14:paraId="612BFCF6" w14:textId="77777777" w:rsidR="00D430A7" w:rsidRPr="002965EC" w:rsidRDefault="00D430A7" w:rsidP="00D74DAB">
      <w:pPr>
        <w:spacing w:after="0"/>
        <w:rPr>
          <w:rFonts w:ascii="Arial" w:hAnsi="Arial" w:cs="Arial"/>
          <w:szCs w:val="24"/>
          <w:lang w:val="en-ZA"/>
        </w:rPr>
      </w:pPr>
    </w:p>
    <w:p w14:paraId="6F5FAFF6" w14:textId="77777777" w:rsidR="00D74DAB" w:rsidRPr="002965EC" w:rsidRDefault="00D74DAB" w:rsidP="00A63A02">
      <w:pPr>
        <w:numPr>
          <w:ilvl w:val="0"/>
          <w:numId w:val="5"/>
        </w:numPr>
        <w:spacing w:after="0"/>
        <w:contextualSpacing/>
        <w:rPr>
          <w:rFonts w:ascii="Arial" w:hAnsi="Arial" w:cs="Arial"/>
          <w:szCs w:val="24"/>
          <w:lang w:val="en-ZA"/>
        </w:rPr>
      </w:pPr>
      <w:r w:rsidRPr="002965EC">
        <w:rPr>
          <w:rFonts w:ascii="Arial" w:hAnsi="Arial" w:cs="Arial"/>
          <w:szCs w:val="24"/>
          <w:lang w:val="en-ZA"/>
        </w:rPr>
        <w:lastRenderedPageBreak/>
        <w:t>Provide support that builds and utilises the capabilities of individuals, households, communities and NGO’s to promote self-reliant sustainable development.</w:t>
      </w:r>
    </w:p>
    <w:p w14:paraId="44EE6E9F" w14:textId="77777777" w:rsidR="00D74DAB" w:rsidRPr="002965EC" w:rsidRDefault="00D74DAB" w:rsidP="00A63A02">
      <w:pPr>
        <w:numPr>
          <w:ilvl w:val="0"/>
          <w:numId w:val="5"/>
        </w:numPr>
        <w:spacing w:after="0"/>
        <w:contextualSpacing/>
        <w:rPr>
          <w:rFonts w:ascii="Arial" w:hAnsi="Arial" w:cs="Arial"/>
          <w:szCs w:val="24"/>
          <w:lang w:val="en-ZA"/>
        </w:rPr>
      </w:pPr>
      <w:r w:rsidRPr="002965EC">
        <w:rPr>
          <w:rFonts w:ascii="Arial" w:hAnsi="Arial" w:cs="Arial"/>
          <w:szCs w:val="24"/>
          <w:lang w:val="en-ZA"/>
        </w:rPr>
        <w:t>Encourage a culture of individual saving for risks associated with loss of income due to unemployment, old age, and illness by providing appropriate frameworks and incentives.</w:t>
      </w:r>
    </w:p>
    <w:p w14:paraId="0A16A627" w14:textId="77777777" w:rsidR="00D74DAB" w:rsidRPr="002965EC" w:rsidRDefault="00D74DAB" w:rsidP="00A63A02">
      <w:pPr>
        <w:numPr>
          <w:ilvl w:val="0"/>
          <w:numId w:val="5"/>
        </w:numPr>
        <w:spacing w:after="0"/>
        <w:contextualSpacing/>
        <w:rPr>
          <w:rFonts w:ascii="Arial" w:hAnsi="Arial" w:cs="Arial"/>
          <w:szCs w:val="24"/>
          <w:lang w:val="en-ZA"/>
        </w:rPr>
      </w:pPr>
      <w:r w:rsidRPr="002965EC">
        <w:rPr>
          <w:rFonts w:ascii="Arial" w:hAnsi="Arial" w:cs="Arial"/>
          <w:szCs w:val="24"/>
          <w:lang w:val="en-ZA"/>
        </w:rPr>
        <w:t xml:space="preserve">Enhance services and programmes for labour market activation for the unemployed and create opportunities in public employment. </w:t>
      </w:r>
    </w:p>
    <w:p w14:paraId="21F0D839" w14:textId="77777777" w:rsidR="00892298" w:rsidRPr="002965EC" w:rsidRDefault="00892298" w:rsidP="00D74DAB">
      <w:pPr>
        <w:pStyle w:val="Default"/>
        <w:jc w:val="both"/>
        <w:rPr>
          <w:rFonts w:ascii="Arial" w:eastAsiaTheme="minorEastAsia" w:hAnsi="Arial" w:cs="Arial"/>
          <w:color w:val="auto"/>
        </w:rPr>
      </w:pPr>
    </w:p>
    <w:p w14:paraId="2FA3C312" w14:textId="77777777" w:rsidR="00D74DAB" w:rsidRPr="002965EC" w:rsidRDefault="00D74DAB" w:rsidP="00D74DAB">
      <w:pPr>
        <w:pStyle w:val="Default"/>
        <w:jc w:val="both"/>
        <w:rPr>
          <w:rFonts w:ascii="Arial" w:hAnsi="Arial" w:cs="Arial"/>
        </w:rPr>
      </w:pPr>
      <w:r w:rsidRPr="002965EC">
        <w:rPr>
          <w:rFonts w:ascii="Arial" w:hAnsi="Arial" w:cs="Arial"/>
        </w:rPr>
        <w:t>The Commission on the Status of Women (CSW) 201</w:t>
      </w:r>
      <w:r w:rsidR="00863348" w:rsidRPr="002965EC">
        <w:rPr>
          <w:rFonts w:ascii="Arial" w:hAnsi="Arial" w:cs="Arial"/>
        </w:rPr>
        <w:t xml:space="preserve">9 calls upon countries to work </w:t>
      </w:r>
      <w:r w:rsidRPr="002965EC">
        <w:rPr>
          <w:rFonts w:ascii="Arial" w:hAnsi="Arial" w:cs="Arial"/>
        </w:rPr>
        <w:t>towards universal and gender-responsive social protection systems</w:t>
      </w:r>
      <w:r w:rsidR="00863348" w:rsidRPr="002965EC">
        <w:rPr>
          <w:rFonts w:ascii="Arial" w:hAnsi="Arial" w:cs="Arial"/>
        </w:rPr>
        <w:t>. This includes</w:t>
      </w:r>
      <w:r w:rsidRPr="002965EC">
        <w:rPr>
          <w:rFonts w:ascii="Arial" w:hAnsi="Arial" w:cs="Arial"/>
        </w:rPr>
        <w:t xml:space="preserve"> the </w:t>
      </w:r>
      <w:r w:rsidRPr="002965EC">
        <w:rPr>
          <w:rFonts w:ascii="Arial" w:hAnsi="Arial" w:cs="Arial"/>
          <w:color w:val="000000" w:themeColor="text1"/>
        </w:rPr>
        <w:t xml:space="preserve">ILO recommended Social Protection Floors, that ensure the income security of women across their life course; </w:t>
      </w:r>
      <w:r w:rsidRPr="002965EC">
        <w:rPr>
          <w:rFonts w:ascii="Arial" w:hAnsi="Arial" w:cs="Arial"/>
          <w:b/>
          <w:color w:val="000000" w:themeColor="text1"/>
        </w:rPr>
        <w:t>(E/CN.6/2019/3, para 43, (j))).</w:t>
      </w:r>
      <w:r w:rsidRPr="002965EC">
        <w:rPr>
          <w:rFonts w:ascii="Arial" w:hAnsi="Arial" w:cs="Arial"/>
        </w:rPr>
        <w:t xml:space="preserve"> In order to achieve women’s empowerment a synergy has to be established between social protection, public services and infrastructure as these are integral to achieving the Beijing Declaration and Platform of Action, the 2030 Agenda on sustainable development, the Addis Ababa Agenda for financing development and the Paris Agreement (</w:t>
      </w:r>
      <w:proofErr w:type="spellStart"/>
      <w:r w:rsidRPr="002965EC">
        <w:rPr>
          <w:rFonts w:ascii="Arial" w:hAnsi="Arial" w:cs="Arial"/>
        </w:rPr>
        <w:t>UNWomen</w:t>
      </w:r>
      <w:proofErr w:type="spellEnd"/>
      <w:r w:rsidRPr="002965EC">
        <w:rPr>
          <w:rFonts w:ascii="Arial" w:hAnsi="Arial" w:cs="Arial"/>
        </w:rPr>
        <w:t>, 2019). This country paper provides the status on social protection, access to public services and infrastructure with a gender dimension. It begins with a section on the policy and legal environment that governs social protection</w:t>
      </w:r>
      <w:r w:rsidR="00C17C48" w:rsidRPr="002965EC">
        <w:rPr>
          <w:rFonts w:ascii="Arial" w:hAnsi="Arial" w:cs="Arial"/>
        </w:rPr>
        <w:t>, access to public services and infrastructure</w:t>
      </w:r>
      <w:r w:rsidRPr="002965EC">
        <w:rPr>
          <w:rFonts w:ascii="Arial" w:hAnsi="Arial" w:cs="Arial"/>
        </w:rPr>
        <w:t>. The second</w:t>
      </w:r>
      <w:r w:rsidR="00863348" w:rsidRPr="002965EC">
        <w:rPr>
          <w:rFonts w:ascii="Arial" w:hAnsi="Arial" w:cs="Arial"/>
        </w:rPr>
        <w:t xml:space="preserve"> se</w:t>
      </w:r>
      <w:r w:rsidR="00C17C48" w:rsidRPr="002965EC">
        <w:rPr>
          <w:rFonts w:ascii="Arial" w:hAnsi="Arial" w:cs="Arial"/>
        </w:rPr>
        <w:t>ction</w:t>
      </w:r>
      <w:r w:rsidRPr="002965EC">
        <w:rPr>
          <w:rFonts w:ascii="Arial" w:hAnsi="Arial" w:cs="Arial"/>
        </w:rPr>
        <w:t xml:space="preserve"> takes stock of the extent to which social protection systems, public services and sustainable infrastructure investments contribute to the achievement of gender equal</w:t>
      </w:r>
      <w:r w:rsidR="00863348" w:rsidRPr="002965EC">
        <w:rPr>
          <w:rFonts w:ascii="Arial" w:hAnsi="Arial" w:cs="Arial"/>
        </w:rPr>
        <w:t>ity and sustainable development</w:t>
      </w:r>
      <w:r w:rsidRPr="002965EC">
        <w:rPr>
          <w:rFonts w:ascii="Arial" w:hAnsi="Arial" w:cs="Arial"/>
        </w:rPr>
        <w:t xml:space="preserve">. The paper then considers the opportunities and challenges in these thematic areas and ends with a section on conclusions and recommendation. </w:t>
      </w:r>
    </w:p>
    <w:p w14:paraId="387F6481" w14:textId="77777777" w:rsidR="00760298" w:rsidRPr="002965EC" w:rsidRDefault="00760298" w:rsidP="002750B1">
      <w:pPr>
        <w:pStyle w:val="Default"/>
        <w:ind w:left="720"/>
        <w:jc w:val="both"/>
        <w:rPr>
          <w:rFonts w:ascii="Arial" w:hAnsi="Arial" w:cs="Arial"/>
        </w:rPr>
      </w:pPr>
    </w:p>
    <w:p w14:paraId="0A3F6FF9" w14:textId="77777777" w:rsidR="00B43E08" w:rsidRPr="002965EC" w:rsidRDefault="00F94695" w:rsidP="002750B1">
      <w:pPr>
        <w:pStyle w:val="Default"/>
        <w:jc w:val="both"/>
        <w:rPr>
          <w:rFonts w:ascii="Arial" w:hAnsi="Arial" w:cs="Arial"/>
        </w:rPr>
      </w:pPr>
      <w:r w:rsidRPr="002965EC">
        <w:rPr>
          <w:rFonts w:ascii="Arial" w:hAnsi="Arial" w:cs="Arial"/>
        </w:rPr>
        <w:t>It is globally recognized that social protection systems, public services and sustainable infrastructure are human rights critical for the achievement and enjoyment of other human rights. It is also recognized globally that realization of socio-economic rights of people are dependent on the availability, accessibility, affordability and quality of related services and on the adequacy of social protection benefits, such as pensions, family allowances or unemployment benefits.</w:t>
      </w:r>
    </w:p>
    <w:p w14:paraId="3EB76565" w14:textId="77777777" w:rsidR="00982D3D" w:rsidRPr="002965EC" w:rsidRDefault="00982D3D" w:rsidP="002750B1">
      <w:pPr>
        <w:pStyle w:val="Default"/>
        <w:jc w:val="both"/>
        <w:rPr>
          <w:rFonts w:ascii="Arial" w:hAnsi="Arial" w:cs="Arial"/>
        </w:rPr>
      </w:pPr>
    </w:p>
    <w:p w14:paraId="1CB9A78A" w14:textId="77777777" w:rsidR="001933ED" w:rsidRPr="002965EC" w:rsidRDefault="001933ED" w:rsidP="00827862">
      <w:pPr>
        <w:pStyle w:val="Heading1"/>
        <w:rPr>
          <w:rFonts w:ascii="Arial" w:hAnsi="Arial" w:cs="Arial"/>
        </w:rPr>
      </w:pPr>
      <w:bookmarkStart w:id="2" w:name="_Toc2094111"/>
      <w:r w:rsidRPr="002965EC">
        <w:rPr>
          <w:rFonts w:ascii="Arial" w:hAnsi="Arial" w:cs="Arial"/>
        </w:rPr>
        <w:t>POLICY AND LEGISLATIVE FRAMEWORKS</w:t>
      </w:r>
      <w:bookmarkEnd w:id="2"/>
      <w:r w:rsidR="00B43E08" w:rsidRPr="002965EC">
        <w:rPr>
          <w:rFonts w:ascii="Arial" w:hAnsi="Arial" w:cs="Arial"/>
        </w:rPr>
        <w:t xml:space="preserve"> </w:t>
      </w:r>
    </w:p>
    <w:p w14:paraId="195D166D" w14:textId="77777777" w:rsidR="001933ED" w:rsidRPr="002965EC" w:rsidRDefault="001933ED" w:rsidP="001933ED">
      <w:pPr>
        <w:pStyle w:val="Default"/>
        <w:jc w:val="both"/>
        <w:rPr>
          <w:rFonts w:ascii="Arial" w:hAnsi="Arial" w:cs="Arial"/>
          <w:b/>
        </w:rPr>
      </w:pPr>
    </w:p>
    <w:p w14:paraId="23321D67" w14:textId="77777777" w:rsidR="00B43E08" w:rsidRPr="002965EC" w:rsidRDefault="001933ED" w:rsidP="00BA63AD">
      <w:pPr>
        <w:pStyle w:val="Heading2"/>
        <w:rPr>
          <w:rFonts w:ascii="Arial" w:hAnsi="Arial" w:cs="Arial"/>
        </w:rPr>
      </w:pPr>
      <w:bookmarkStart w:id="3" w:name="_Toc2094112"/>
      <w:r w:rsidRPr="002965EC">
        <w:rPr>
          <w:rFonts w:ascii="Arial" w:hAnsi="Arial" w:cs="Arial"/>
        </w:rPr>
        <w:t xml:space="preserve">Global policy frameworks </w:t>
      </w:r>
      <w:r w:rsidR="00B43E08" w:rsidRPr="002965EC">
        <w:rPr>
          <w:rFonts w:ascii="Arial" w:hAnsi="Arial" w:cs="Arial"/>
        </w:rPr>
        <w:t>governing the implementation of social protection systems, public services and sustainable infrastructure</w:t>
      </w:r>
      <w:bookmarkEnd w:id="3"/>
    </w:p>
    <w:p w14:paraId="549ECF09" w14:textId="77777777" w:rsidR="000E42FB" w:rsidRPr="002965EC" w:rsidRDefault="000E42FB" w:rsidP="002750B1">
      <w:pPr>
        <w:pStyle w:val="Default"/>
        <w:jc w:val="both"/>
        <w:rPr>
          <w:rFonts w:ascii="Arial" w:hAnsi="Arial" w:cs="Arial"/>
        </w:rPr>
      </w:pPr>
    </w:p>
    <w:p w14:paraId="6B796535" w14:textId="77777777" w:rsidR="00B43E08" w:rsidRPr="002965EC" w:rsidRDefault="00B43E08" w:rsidP="002750B1">
      <w:pPr>
        <w:pStyle w:val="Default"/>
        <w:jc w:val="both"/>
        <w:rPr>
          <w:rFonts w:ascii="Arial" w:hAnsi="Arial" w:cs="Arial"/>
        </w:rPr>
      </w:pPr>
      <w:r w:rsidRPr="002965EC">
        <w:rPr>
          <w:rFonts w:ascii="Arial" w:hAnsi="Arial" w:cs="Arial"/>
        </w:rPr>
        <w:t>The right to social security</w:t>
      </w:r>
      <w:r w:rsidR="000E42FB" w:rsidRPr="002965EC">
        <w:rPr>
          <w:rFonts w:ascii="Arial" w:hAnsi="Arial" w:cs="Arial"/>
        </w:rPr>
        <w:t xml:space="preserve">, public services and sustainable infrastructure </w:t>
      </w:r>
      <w:r w:rsidRPr="002965EC">
        <w:rPr>
          <w:rFonts w:ascii="Arial" w:hAnsi="Arial" w:cs="Arial"/>
        </w:rPr>
        <w:t>is enshrined in several global human rights frameworks, including:</w:t>
      </w:r>
    </w:p>
    <w:p w14:paraId="2B2C9366" w14:textId="77777777" w:rsidR="00B43E08" w:rsidRPr="002965EC" w:rsidRDefault="00B43E08" w:rsidP="00A63A02">
      <w:pPr>
        <w:pStyle w:val="Default"/>
        <w:numPr>
          <w:ilvl w:val="0"/>
          <w:numId w:val="1"/>
        </w:numPr>
        <w:jc w:val="both"/>
        <w:rPr>
          <w:rFonts w:ascii="Arial" w:hAnsi="Arial" w:cs="Arial"/>
        </w:rPr>
      </w:pPr>
      <w:r w:rsidRPr="002965EC">
        <w:rPr>
          <w:rFonts w:ascii="Arial" w:hAnsi="Arial" w:cs="Arial"/>
        </w:rPr>
        <w:t>The Universal Declaration of Human Rights adopted by the UN General Assembly in 1948;</w:t>
      </w:r>
    </w:p>
    <w:p w14:paraId="681F6E51" w14:textId="77777777" w:rsidR="00B43E08" w:rsidRPr="002965EC" w:rsidRDefault="00B43E08" w:rsidP="00A63A02">
      <w:pPr>
        <w:pStyle w:val="Default"/>
        <w:numPr>
          <w:ilvl w:val="0"/>
          <w:numId w:val="1"/>
        </w:numPr>
        <w:jc w:val="both"/>
        <w:rPr>
          <w:rFonts w:ascii="Arial" w:hAnsi="Arial" w:cs="Arial"/>
        </w:rPr>
      </w:pPr>
      <w:r w:rsidRPr="002965EC">
        <w:rPr>
          <w:rFonts w:ascii="Arial" w:hAnsi="Arial" w:cs="Arial"/>
        </w:rPr>
        <w:lastRenderedPageBreak/>
        <w:t xml:space="preserve">The International Covenant on Economic, Social and Cultural Rights adopted by the UN General Assembly in 1966, which obliges States Parties to respect, protect and fulfill with discrimination on the basis of sex, a set of rights, including </w:t>
      </w:r>
    </w:p>
    <w:p w14:paraId="18D81775" w14:textId="77777777" w:rsidR="00B43E08" w:rsidRPr="002965EC" w:rsidRDefault="00B43E08" w:rsidP="00A63A02">
      <w:pPr>
        <w:pStyle w:val="Default"/>
        <w:numPr>
          <w:ilvl w:val="0"/>
          <w:numId w:val="2"/>
        </w:numPr>
        <w:jc w:val="both"/>
        <w:rPr>
          <w:rFonts w:ascii="Arial" w:hAnsi="Arial" w:cs="Arial"/>
        </w:rPr>
      </w:pPr>
      <w:r w:rsidRPr="002965EC">
        <w:rPr>
          <w:rFonts w:ascii="Arial" w:hAnsi="Arial" w:cs="Arial"/>
        </w:rPr>
        <w:t>The right to social security (article 9)</w:t>
      </w:r>
    </w:p>
    <w:p w14:paraId="3508AAE9" w14:textId="77777777" w:rsidR="00F94695" w:rsidRPr="002965EC" w:rsidRDefault="00B43E08" w:rsidP="00A63A02">
      <w:pPr>
        <w:pStyle w:val="Default"/>
        <w:numPr>
          <w:ilvl w:val="0"/>
          <w:numId w:val="2"/>
        </w:numPr>
        <w:jc w:val="both"/>
        <w:rPr>
          <w:rFonts w:ascii="Arial" w:hAnsi="Arial" w:cs="Arial"/>
        </w:rPr>
      </w:pPr>
      <w:r w:rsidRPr="002965EC">
        <w:rPr>
          <w:rFonts w:ascii="Arial" w:hAnsi="Arial" w:cs="Arial"/>
        </w:rPr>
        <w:t>The right to an adequate standard of living</w:t>
      </w:r>
      <w:r w:rsidR="00F94695" w:rsidRPr="002965EC">
        <w:rPr>
          <w:rFonts w:ascii="Arial" w:hAnsi="Arial" w:cs="Arial"/>
        </w:rPr>
        <w:t>, including adequate food, clothing and housing (article 11)</w:t>
      </w:r>
    </w:p>
    <w:p w14:paraId="28918A75" w14:textId="77777777" w:rsidR="00F94695" w:rsidRPr="002965EC" w:rsidRDefault="00F94695" w:rsidP="00A63A02">
      <w:pPr>
        <w:pStyle w:val="Default"/>
        <w:numPr>
          <w:ilvl w:val="0"/>
          <w:numId w:val="2"/>
        </w:numPr>
        <w:jc w:val="both"/>
        <w:rPr>
          <w:rFonts w:ascii="Arial" w:hAnsi="Arial" w:cs="Arial"/>
        </w:rPr>
      </w:pPr>
      <w:r w:rsidRPr="002965EC">
        <w:rPr>
          <w:rFonts w:ascii="Arial" w:hAnsi="Arial" w:cs="Arial"/>
        </w:rPr>
        <w:t>The right to the highest attainable standard physical and mental health (article 12)</w:t>
      </w:r>
    </w:p>
    <w:p w14:paraId="72796DDD" w14:textId="77777777" w:rsidR="00B43E08" w:rsidRPr="002965EC" w:rsidRDefault="00F94695" w:rsidP="00A63A02">
      <w:pPr>
        <w:pStyle w:val="Default"/>
        <w:numPr>
          <w:ilvl w:val="0"/>
          <w:numId w:val="2"/>
        </w:numPr>
        <w:jc w:val="both"/>
        <w:rPr>
          <w:rFonts w:ascii="Arial" w:hAnsi="Arial" w:cs="Arial"/>
        </w:rPr>
      </w:pPr>
      <w:r w:rsidRPr="002965EC">
        <w:rPr>
          <w:rFonts w:ascii="Arial" w:hAnsi="Arial" w:cs="Arial"/>
        </w:rPr>
        <w:t>The right to education (article 13)</w:t>
      </w:r>
      <w:r w:rsidR="00B43E08" w:rsidRPr="002965EC">
        <w:rPr>
          <w:rFonts w:ascii="Arial" w:hAnsi="Arial" w:cs="Arial"/>
        </w:rPr>
        <w:t xml:space="preserve"> </w:t>
      </w:r>
    </w:p>
    <w:p w14:paraId="37789C70" w14:textId="77777777" w:rsidR="00B43E08" w:rsidRPr="002965EC" w:rsidRDefault="00F94695" w:rsidP="00A63A02">
      <w:pPr>
        <w:pStyle w:val="Default"/>
        <w:numPr>
          <w:ilvl w:val="0"/>
          <w:numId w:val="1"/>
        </w:numPr>
        <w:jc w:val="both"/>
        <w:rPr>
          <w:rFonts w:ascii="Arial" w:hAnsi="Arial" w:cs="Arial"/>
        </w:rPr>
      </w:pPr>
      <w:r w:rsidRPr="002965EC">
        <w:rPr>
          <w:rFonts w:ascii="Arial" w:hAnsi="Arial" w:cs="Arial"/>
        </w:rPr>
        <w:t>The UN General Assembly Resolution on the Human Rights to Water and Sanitation (A/Res/64/292)  adopted in 2010 which recognizes that safe and clean drinking water and sanitation is a human right necessary for the full enjoyment of life and all other human rights;</w:t>
      </w:r>
    </w:p>
    <w:p w14:paraId="291656EC" w14:textId="77777777" w:rsidR="00F94695" w:rsidRPr="002965EC" w:rsidRDefault="00F94695" w:rsidP="00A63A02">
      <w:pPr>
        <w:pStyle w:val="Default"/>
        <w:numPr>
          <w:ilvl w:val="0"/>
          <w:numId w:val="1"/>
        </w:numPr>
        <w:jc w:val="both"/>
        <w:rPr>
          <w:rFonts w:ascii="Arial" w:hAnsi="Arial" w:cs="Arial"/>
        </w:rPr>
      </w:pPr>
      <w:r w:rsidRPr="002965EC">
        <w:rPr>
          <w:rFonts w:ascii="Arial" w:hAnsi="Arial" w:cs="Arial"/>
        </w:rPr>
        <w:t xml:space="preserve">The Convention </w:t>
      </w:r>
      <w:r w:rsidR="007528B3" w:rsidRPr="002965EC">
        <w:rPr>
          <w:rFonts w:ascii="Arial" w:hAnsi="Arial" w:cs="Arial"/>
        </w:rPr>
        <w:t>on the Elimination of All Forms of Discrimination against Women (CEDAW) adopted in 1979 which enshrines the right to social security for women and girls specifically</w:t>
      </w:r>
      <w:r w:rsidR="00D36039" w:rsidRPr="002965EC">
        <w:rPr>
          <w:rFonts w:ascii="Arial" w:hAnsi="Arial" w:cs="Arial"/>
        </w:rPr>
        <w:t>. CEDAW  requires States Parties to eliminate discrimination against women to ensure their equal enjoyment of the right to social security, particularly in cases of retirement, unemployment, sickness, invalidity and old age and other incapacity to work, as well as the right to paid leave (article 11)</w:t>
      </w:r>
      <w:r w:rsidR="007528B3" w:rsidRPr="002965EC">
        <w:rPr>
          <w:rFonts w:ascii="Arial" w:hAnsi="Arial" w:cs="Arial"/>
        </w:rPr>
        <w:t>;</w:t>
      </w:r>
    </w:p>
    <w:p w14:paraId="5911543B" w14:textId="77777777" w:rsidR="007528B3" w:rsidRPr="002965EC" w:rsidRDefault="007528B3" w:rsidP="00A63A02">
      <w:pPr>
        <w:pStyle w:val="Default"/>
        <w:numPr>
          <w:ilvl w:val="0"/>
          <w:numId w:val="1"/>
        </w:numPr>
        <w:jc w:val="both"/>
        <w:rPr>
          <w:rFonts w:ascii="Arial" w:hAnsi="Arial" w:cs="Arial"/>
        </w:rPr>
      </w:pPr>
      <w:r w:rsidRPr="002965EC">
        <w:rPr>
          <w:rFonts w:ascii="Arial" w:hAnsi="Arial" w:cs="Arial"/>
        </w:rPr>
        <w:t>The Convention on the Rights of the Child (UNCRC) adopted in 1989</w:t>
      </w:r>
    </w:p>
    <w:p w14:paraId="08D933A1" w14:textId="77777777" w:rsidR="007528B3" w:rsidRPr="002965EC" w:rsidRDefault="007528B3" w:rsidP="00A63A02">
      <w:pPr>
        <w:pStyle w:val="Default"/>
        <w:numPr>
          <w:ilvl w:val="0"/>
          <w:numId w:val="1"/>
        </w:numPr>
        <w:jc w:val="both"/>
        <w:rPr>
          <w:rFonts w:ascii="Arial" w:hAnsi="Arial" w:cs="Arial"/>
        </w:rPr>
      </w:pPr>
      <w:r w:rsidRPr="002965EC">
        <w:rPr>
          <w:rFonts w:ascii="Arial" w:hAnsi="Arial" w:cs="Arial"/>
        </w:rPr>
        <w:t>The Convention on the Rights of All Migrant Workers and Their Families adopted in 1990</w:t>
      </w:r>
    </w:p>
    <w:p w14:paraId="0F9E52F3" w14:textId="77777777" w:rsidR="007528B3" w:rsidRPr="002965EC" w:rsidRDefault="007528B3" w:rsidP="00A63A02">
      <w:pPr>
        <w:pStyle w:val="Default"/>
        <w:numPr>
          <w:ilvl w:val="0"/>
          <w:numId w:val="1"/>
        </w:numPr>
        <w:jc w:val="both"/>
        <w:rPr>
          <w:rFonts w:ascii="Arial" w:hAnsi="Arial" w:cs="Arial"/>
        </w:rPr>
      </w:pPr>
      <w:r w:rsidRPr="002965EC">
        <w:rPr>
          <w:rFonts w:ascii="Arial" w:hAnsi="Arial" w:cs="Arial"/>
        </w:rPr>
        <w:t>The Convention on the Rights of Persons with Disabilities adopted in 2006</w:t>
      </w:r>
    </w:p>
    <w:p w14:paraId="47E0F53D" w14:textId="77777777" w:rsidR="00D36039" w:rsidRPr="002965EC" w:rsidRDefault="00D36039" w:rsidP="00A63A02">
      <w:pPr>
        <w:pStyle w:val="Default"/>
        <w:numPr>
          <w:ilvl w:val="0"/>
          <w:numId w:val="1"/>
        </w:numPr>
        <w:jc w:val="both"/>
        <w:rPr>
          <w:rFonts w:ascii="Arial" w:hAnsi="Arial" w:cs="Arial"/>
        </w:rPr>
      </w:pPr>
      <w:r w:rsidRPr="002965EC">
        <w:rPr>
          <w:rFonts w:ascii="Arial" w:hAnsi="Arial" w:cs="Arial"/>
        </w:rPr>
        <w:t xml:space="preserve">The Beijing Declaration and Platform for Action adopted in 1995 also recognizes the importance of social protection, public services and infrastructure for poverty eradication and progress for women and girls generally. Under the Critical Area </w:t>
      </w:r>
      <w:proofErr w:type="gramStart"/>
      <w:r w:rsidRPr="002965EC">
        <w:rPr>
          <w:rFonts w:ascii="Arial" w:hAnsi="Arial" w:cs="Arial"/>
        </w:rPr>
        <w:t>A</w:t>
      </w:r>
      <w:proofErr w:type="gramEnd"/>
      <w:r w:rsidRPr="002965EC">
        <w:rPr>
          <w:rFonts w:ascii="Arial" w:hAnsi="Arial" w:cs="Arial"/>
        </w:rPr>
        <w:t xml:space="preserve"> on Women and Poverty, member states are committed to creating social security systems wherever they do not exist, or review them with a view to placing individual women and men on equal footing, at every stage of their lives. Under Critical Area F on Women and the Economy and Critical Area K on Women and the Environment member states are called upon to provide public infrastructure to ensure equal market access for women and men entrepreneurs and to support the development of women’s equal access to housing infrastructure, safe water, and sustainable and affordable energy technologies, such as wind, solar, biomass and other renewable sources.</w:t>
      </w:r>
    </w:p>
    <w:p w14:paraId="1C2D1182" w14:textId="77777777" w:rsidR="00D36039" w:rsidRPr="002965EC" w:rsidRDefault="00D36039" w:rsidP="00A63A02">
      <w:pPr>
        <w:pStyle w:val="Default"/>
        <w:numPr>
          <w:ilvl w:val="0"/>
          <w:numId w:val="1"/>
        </w:numPr>
        <w:jc w:val="both"/>
        <w:rPr>
          <w:rFonts w:ascii="Arial" w:hAnsi="Arial" w:cs="Arial"/>
        </w:rPr>
      </w:pPr>
      <w:r w:rsidRPr="002965EC">
        <w:rPr>
          <w:rFonts w:ascii="Arial" w:hAnsi="Arial" w:cs="Arial"/>
        </w:rPr>
        <w:t>In the UN CSW 53</w:t>
      </w:r>
      <w:r w:rsidRPr="002965EC">
        <w:rPr>
          <w:rFonts w:ascii="Arial" w:hAnsi="Arial" w:cs="Arial"/>
          <w:vertAlign w:val="superscript"/>
        </w:rPr>
        <w:t>rd</w:t>
      </w:r>
      <w:r w:rsidRPr="002965EC">
        <w:rPr>
          <w:rFonts w:ascii="Arial" w:hAnsi="Arial" w:cs="Arial"/>
        </w:rPr>
        <w:t xml:space="preserve"> Session in 2009, the Agreed Conclusions adopted recognized the clea</w:t>
      </w:r>
      <w:r w:rsidR="00815EA8" w:rsidRPr="002965EC">
        <w:rPr>
          <w:rFonts w:ascii="Arial" w:hAnsi="Arial" w:cs="Arial"/>
        </w:rPr>
        <w:t>r</w:t>
      </w:r>
      <w:r w:rsidRPr="002965EC">
        <w:rPr>
          <w:rFonts w:ascii="Arial" w:hAnsi="Arial" w:cs="Arial"/>
        </w:rPr>
        <w:t xml:space="preserve"> link between unpaid care work and social protection systems, public services and sustainable infrastructure</w:t>
      </w:r>
      <w:r w:rsidR="00815EA8" w:rsidRPr="002965EC">
        <w:rPr>
          <w:rFonts w:ascii="Arial" w:hAnsi="Arial" w:cs="Arial"/>
        </w:rPr>
        <w:t xml:space="preserve">. It furthermore called for the development of adequate social protection schemes; investments in quality, accessible and affordable public services; and enhanced access to infrastructure to reduce the burden of care on women. </w:t>
      </w:r>
    </w:p>
    <w:p w14:paraId="080574BB" w14:textId="77777777" w:rsidR="00815EA8" w:rsidRPr="002965EC" w:rsidRDefault="00815EA8" w:rsidP="00A63A02">
      <w:pPr>
        <w:pStyle w:val="Default"/>
        <w:numPr>
          <w:ilvl w:val="0"/>
          <w:numId w:val="1"/>
        </w:numPr>
        <w:jc w:val="both"/>
        <w:rPr>
          <w:rFonts w:ascii="Arial" w:hAnsi="Arial" w:cs="Arial"/>
        </w:rPr>
      </w:pPr>
      <w:r w:rsidRPr="002965EC">
        <w:rPr>
          <w:rFonts w:ascii="Arial" w:hAnsi="Arial" w:cs="Arial"/>
        </w:rPr>
        <w:t>In the UN CSW 61</w:t>
      </w:r>
      <w:r w:rsidRPr="002965EC">
        <w:rPr>
          <w:rFonts w:ascii="Arial" w:hAnsi="Arial" w:cs="Arial"/>
          <w:vertAlign w:val="superscript"/>
        </w:rPr>
        <w:t>st</w:t>
      </w:r>
      <w:r w:rsidRPr="002965EC">
        <w:rPr>
          <w:rFonts w:ascii="Arial" w:hAnsi="Arial" w:cs="Arial"/>
        </w:rPr>
        <w:t xml:space="preserve"> Session in 2017, the Agreed Conclusions reiterated the need to recognize, reduce and redistribute the unequal share of unpaid care and domestic work on women, among others, through the provision of infrastructure, technology and public services such as water, sanitation, renewable energy, transport, information and communications technology, as well as accessible, </w:t>
      </w:r>
      <w:r w:rsidRPr="002965EC">
        <w:rPr>
          <w:rFonts w:ascii="Arial" w:hAnsi="Arial" w:cs="Arial"/>
        </w:rPr>
        <w:lastRenderedPageBreak/>
        <w:t xml:space="preserve">affordable and quality child care and care facilities. Furthermore the link to women’s productive activities and </w:t>
      </w:r>
      <w:r w:rsidR="00174A8E" w:rsidRPr="002965EC">
        <w:rPr>
          <w:rFonts w:ascii="Arial" w:hAnsi="Arial" w:cs="Arial"/>
        </w:rPr>
        <w:t>advancement in</w:t>
      </w:r>
      <w:r w:rsidR="006D75F5" w:rsidRPr="002965EC">
        <w:rPr>
          <w:rFonts w:ascii="Arial" w:hAnsi="Arial" w:cs="Arial"/>
        </w:rPr>
        <w:t xml:space="preserve"> paid employment was also established, stressing the need for gender responsive rural development</w:t>
      </w:r>
      <w:r w:rsidR="00174A8E" w:rsidRPr="002965EC">
        <w:rPr>
          <w:rFonts w:ascii="Arial" w:hAnsi="Arial" w:cs="Arial"/>
        </w:rPr>
        <w:t xml:space="preserve"> strategies and urban planning and infrastructure. Including sustainable, safe, accessible and affordable public transportation systems, street lighting, and separate and adequate sanitation facilities to facilitate women’s access to places, products, services and economic opportunities;</w:t>
      </w:r>
    </w:p>
    <w:p w14:paraId="545BEEDE" w14:textId="77777777" w:rsidR="00174A8E" w:rsidRPr="002965EC" w:rsidRDefault="00174A8E" w:rsidP="00A63A02">
      <w:pPr>
        <w:pStyle w:val="Default"/>
        <w:numPr>
          <w:ilvl w:val="0"/>
          <w:numId w:val="1"/>
        </w:numPr>
        <w:jc w:val="both"/>
        <w:rPr>
          <w:rFonts w:ascii="Arial" w:hAnsi="Arial" w:cs="Arial"/>
        </w:rPr>
      </w:pPr>
      <w:r w:rsidRPr="002965EC">
        <w:rPr>
          <w:rFonts w:ascii="Arial" w:hAnsi="Arial" w:cs="Arial"/>
        </w:rPr>
        <w:t>In the UN CSW 62</w:t>
      </w:r>
      <w:r w:rsidRPr="002965EC">
        <w:rPr>
          <w:rFonts w:ascii="Arial" w:hAnsi="Arial" w:cs="Arial"/>
          <w:vertAlign w:val="superscript"/>
        </w:rPr>
        <w:t>nd</w:t>
      </w:r>
      <w:r w:rsidRPr="002965EC">
        <w:rPr>
          <w:rFonts w:ascii="Arial" w:hAnsi="Arial" w:cs="Arial"/>
        </w:rPr>
        <w:t xml:space="preserve"> Session in 2018 the Commission reiterated the need for investments in gender responsive social protection, public services, infrastructure and technology with a particular focus on rural women and girls;</w:t>
      </w:r>
    </w:p>
    <w:p w14:paraId="65E798AE" w14:textId="77777777" w:rsidR="00B43E08" w:rsidRPr="002965EC" w:rsidRDefault="00174A8E" w:rsidP="00A63A02">
      <w:pPr>
        <w:pStyle w:val="Default"/>
        <w:numPr>
          <w:ilvl w:val="0"/>
          <w:numId w:val="1"/>
        </w:numPr>
        <w:jc w:val="both"/>
        <w:rPr>
          <w:rFonts w:ascii="Arial" w:hAnsi="Arial" w:cs="Arial"/>
          <w:b/>
        </w:rPr>
      </w:pPr>
      <w:r w:rsidRPr="002965EC">
        <w:rPr>
          <w:rFonts w:ascii="Arial" w:hAnsi="Arial" w:cs="Arial"/>
        </w:rPr>
        <w:t xml:space="preserve"> The 2030 Agenda for Sustainable Development affirms the critical importance of gender equality and the empowerment of women and girls as a goal in its own right and a key factor towards the attainment of the 17 SGDs.</w:t>
      </w:r>
      <w:r w:rsidR="007C7AE1" w:rsidRPr="002965EC">
        <w:rPr>
          <w:rFonts w:ascii="Arial" w:hAnsi="Arial" w:cs="Arial"/>
        </w:rPr>
        <w:t xml:space="preserve"> Furthermore, social protection, public services and sustainable infrastructure are critical for achieving gender equality and women’s empowerment and the attainment of all 17 SDGs. </w:t>
      </w:r>
    </w:p>
    <w:p w14:paraId="00D949D8" w14:textId="77777777" w:rsidR="00B43E08" w:rsidRPr="002965EC" w:rsidRDefault="00B43E08" w:rsidP="002750B1">
      <w:pPr>
        <w:pStyle w:val="Default"/>
        <w:jc w:val="both"/>
        <w:rPr>
          <w:rFonts w:ascii="Arial" w:hAnsi="Arial" w:cs="Arial"/>
          <w:b/>
        </w:rPr>
      </w:pPr>
    </w:p>
    <w:p w14:paraId="2AF295E6" w14:textId="77777777" w:rsidR="00982D3D" w:rsidRPr="002965EC" w:rsidRDefault="00B43E08" w:rsidP="00BA63AD">
      <w:pPr>
        <w:pStyle w:val="Heading2"/>
        <w:rPr>
          <w:rFonts w:ascii="Arial" w:hAnsi="Arial" w:cs="Arial"/>
        </w:rPr>
      </w:pPr>
      <w:bookmarkStart w:id="4" w:name="_Toc2094113"/>
      <w:r w:rsidRPr="002965EC">
        <w:rPr>
          <w:rFonts w:ascii="Arial" w:hAnsi="Arial" w:cs="Arial"/>
        </w:rPr>
        <w:t xml:space="preserve">National </w:t>
      </w:r>
      <w:r w:rsidR="00982D3D" w:rsidRPr="002965EC">
        <w:rPr>
          <w:rFonts w:ascii="Arial" w:hAnsi="Arial" w:cs="Arial"/>
        </w:rPr>
        <w:t xml:space="preserve">Legislative </w:t>
      </w:r>
      <w:r w:rsidRPr="002965EC">
        <w:rPr>
          <w:rFonts w:ascii="Arial" w:hAnsi="Arial" w:cs="Arial"/>
        </w:rPr>
        <w:t xml:space="preserve">and Policy </w:t>
      </w:r>
      <w:r w:rsidR="00982D3D" w:rsidRPr="002965EC">
        <w:rPr>
          <w:rFonts w:ascii="Arial" w:hAnsi="Arial" w:cs="Arial"/>
        </w:rPr>
        <w:t>Framework</w:t>
      </w:r>
      <w:r w:rsidRPr="002965EC">
        <w:rPr>
          <w:rFonts w:ascii="Arial" w:hAnsi="Arial" w:cs="Arial"/>
        </w:rPr>
        <w:t>s</w:t>
      </w:r>
      <w:bookmarkEnd w:id="4"/>
    </w:p>
    <w:p w14:paraId="376D5566" w14:textId="77777777" w:rsidR="007C7AE1" w:rsidRPr="002965EC" w:rsidRDefault="007C7AE1" w:rsidP="002750B1">
      <w:pPr>
        <w:pStyle w:val="Default"/>
        <w:jc w:val="both"/>
        <w:rPr>
          <w:rFonts w:ascii="Arial" w:hAnsi="Arial" w:cs="Arial"/>
          <w:b/>
        </w:rPr>
      </w:pPr>
    </w:p>
    <w:p w14:paraId="7871FBE9" w14:textId="77777777" w:rsidR="007C7AE1" w:rsidRPr="002965EC" w:rsidRDefault="007C7AE1" w:rsidP="007C7AE1">
      <w:pPr>
        <w:spacing w:after="0"/>
        <w:rPr>
          <w:rFonts w:ascii="Arial" w:hAnsi="Arial" w:cs="Arial"/>
          <w:szCs w:val="24"/>
        </w:rPr>
      </w:pPr>
      <w:r w:rsidRPr="002965EC">
        <w:rPr>
          <w:rFonts w:ascii="Arial" w:hAnsi="Arial" w:cs="Arial"/>
          <w:szCs w:val="24"/>
        </w:rPr>
        <w:t>The pre-1994 segregationist and apartheid era in South Africa (pre-1994) was characterized by the systematic oppression of black women who were forced to live under a wide range of repressive laws that denied them freedom in a political, social and economic context. The ushering in of democracy in 1994 marked a new era for women, in particular black women in South Africa. The new post-apartheid government committed itself to the empowerment of women and gender equality. Former president Nelson Mandela stated in his inaugural address in 1994 that genuine liberation in the country would not be achieved “unless we see in visible and practical terms that the condition of women in our country has radically changed for the better and that they have been empowered to intervene in all spheres of life as equals with any member of our society”.</w:t>
      </w:r>
    </w:p>
    <w:p w14:paraId="47DA17AC" w14:textId="77777777" w:rsidR="006308AD" w:rsidRPr="002965EC" w:rsidRDefault="006308AD" w:rsidP="007C7AE1">
      <w:pPr>
        <w:spacing w:after="0"/>
        <w:rPr>
          <w:rFonts w:ascii="Arial" w:hAnsi="Arial" w:cs="Arial"/>
          <w:szCs w:val="24"/>
        </w:rPr>
      </w:pPr>
    </w:p>
    <w:p w14:paraId="14CB0F68" w14:textId="77777777" w:rsidR="006308AD" w:rsidRPr="002965EC" w:rsidRDefault="007C7AE1" w:rsidP="006308AD">
      <w:pPr>
        <w:widowControl w:val="0"/>
        <w:autoSpaceDE w:val="0"/>
        <w:autoSpaceDN w:val="0"/>
        <w:adjustRightInd w:val="0"/>
        <w:spacing w:after="0"/>
        <w:ind w:right="-330"/>
        <w:rPr>
          <w:rFonts w:ascii="Arial" w:hAnsi="Arial" w:cs="Arial"/>
          <w:szCs w:val="24"/>
        </w:rPr>
      </w:pPr>
      <w:r w:rsidRPr="002965EC">
        <w:rPr>
          <w:rFonts w:ascii="Arial" w:hAnsi="Arial" w:cs="Arial"/>
          <w:szCs w:val="24"/>
        </w:rPr>
        <w:t xml:space="preserve">South Africa adopted the Beijing Declaration and Beijing Platform of Action (BPA) in 1995. In the same year South Africa ratified without any reservations, the United Nations Convention on the Elimination of Discrimination against Women (CEDAW). </w:t>
      </w:r>
    </w:p>
    <w:p w14:paraId="4D1ACE2A" w14:textId="77777777" w:rsidR="006308AD" w:rsidRPr="002965EC" w:rsidRDefault="006308AD" w:rsidP="006308AD">
      <w:pPr>
        <w:widowControl w:val="0"/>
        <w:autoSpaceDE w:val="0"/>
        <w:autoSpaceDN w:val="0"/>
        <w:adjustRightInd w:val="0"/>
        <w:spacing w:after="0"/>
        <w:ind w:right="-330"/>
        <w:rPr>
          <w:rFonts w:ascii="Arial" w:hAnsi="Arial" w:cs="Arial"/>
          <w:szCs w:val="24"/>
        </w:rPr>
      </w:pPr>
    </w:p>
    <w:p w14:paraId="186402BE" w14:textId="77777777" w:rsidR="006308AD" w:rsidRPr="002965EC" w:rsidRDefault="007C7AE1" w:rsidP="006308AD">
      <w:pPr>
        <w:rPr>
          <w:rFonts w:ascii="Arial" w:hAnsi="Arial" w:cs="Arial"/>
          <w:szCs w:val="24"/>
        </w:rPr>
      </w:pPr>
      <w:r w:rsidRPr="002965EC">
        <w:rPr>
          <w:rFonts w:ascii="Arial" w:hAnsi="Arial" w:cs="Arial"/>
          <w:szCs w:val="24"/>
        </w:rPr>
        <w:t>On 8 May 1996, South Africa adopted the South African Constitution as the supreme law of the country. The Bill of Rights (Chapter 2 of the Constitution of RSA, 1996) proclaims the equality of all and prohibits discrimination, including discrimination based on race, gender, sex, pregnancy and marital status.</w:t>
      </w:r>
      <w:r w:rsidR="006308AD" w:rsidRPr="002965EC">
        <w:rPr>
          <w:rFonts w:ascii="Arial" w:hAnsi="Arial" w:cs="Arial"/>
          <w:szCs w:val="24"/>
        </w:rPr>
        <w:t xml:space="preserve"> The Constitution of the Republic of South Africa, Act 108 of 1996 promotes non-sexism, non-discrimination, equality and human dignity to all citizens of the country. The right to equality is provided for in s9 (1) of the Constitution and states “that everyone is equal before the law and has the right to equal protection and benefit of the law”. In s9 (3), the Constitution provides that the </w:t>
      </w:r>
      <w:r w:rsidR="006308AD" w:rsidRPr="002965EC">
        <w:rPr>
          <w:rFonts w:ascii="Arial" w:hAnsi="Arial" w:cs="Arial"/>
          <w:szCs w:val="24"/>
        </w:rPr>
        <w:lastRenderedPageBreak/>
        <w:t xml:space="preserve">“state may not unfairly discriminate directly or indirectly against anyone on one or more grounds, including race, gender, sex, pregnancy, marital status, ethnic or social origin, colour, sexual orientation, age, disability, religion, conscience, belief, culture, language and birth”. </w:t>
      </w:r>
    </w:p>
    <w:p w14:paraId="4FC9F290" w14:textId="77777777" w:rsidR="006308AD" w:rsidRPr="002965EC" w:rsidRDefault="006308AD" w:rsidP="006308AD">
      <w:pPr>
        <w:widowControl w:val="0"/>
        <w:autoSpaceDE w:val="0"/>
        <w:autoSpaceDN w:val="0"/>
        <w:adjustRightInd w:val="0"/>
        <w:spacing w:after="0"/>
        <w:ind w:right="-330"/>
        <w:rPr>
          <w:rFonts w:ascii="Arial" w:hAnsi="Arial" w:cs="Arial"/>
          <w:szCs w:val="24"/>
        </w:rPr>
      </w:pPr>
      <w:r w:rsidRPr="002965EC">
        <w:rPr>
          <w:rFonts w:ascii="Arial" w:hAnsi="Arial" w:cs="Arial"/>
          <w:szCs w:val="24"/>
        </w:rPr>
        <w:t xml:space="preserve">Chapter 2 of The Bill of Rights, the cornerstone of democracy in South Africa, enshrines the rights of all people in the country and affirms the democratic values of human dignity, equality and freedom. The State must respect, protect, promote and fulfill the rights in the bill of Rights. The State is responsible to ensure a peaceful, harmonious and prosperous society characterized by a culture of human rights. </w:t>
      </w:r>
    </w:p>
    <w:p w14:paraId="116B595B" w14:textId="77777777" w:rsidR="006308AD" w:rsidRPr="002965EC" w:rsidRDefault="006308AD" w:rsidP="006308AD">
      <w:pPr>
        <w:widowControl w:val="0"/>
        <w:autoSpaceDE w:val="0"/>
        <w:autoSpaceDN w:val="0"/>
        <w:adjustRightInd w:val="0"/>
        <w:spacing w:after="0"/>
        <w:ind w:right="-330"/>
        <w:rPr>
          <w:rFonts w:ascii="Arial" w:hAnsi="Arial" w:cs="Arial"/>
          <w:szCs w:val="24"/>
        </w:rPr>
      </w:pPr>
    </w:p>
    <w:p w14:paraId="5E4F9FC5" w14:textId="77777777" w:rsidR="007C7AE1" w:rsidRPr="002965EC" w:rsidRDefault="006308AD" w:rsidP="006308AD">
      <w:pPr>
        <w:widowControl w:val="0"/>
        <w:autoSpaceDE w:val="0"/>
        <w:autoSpaceDN w:val="0"/>
        <w:adjustRightInd w:val="0"/>
        <w:spacing w:after="0"/>
        <w:ind w:right="-330"/>
        <w:rPr>
          <w:rFonts w:ascii="Arial" w:hAnsi="Arial" w:cs="Arial"/>
          <w:szCs w:val="24"/>
        </w:rPr>
      </w:pPr>
      <w:r w:rsidRPr="002965EC">
        <w:rPr>
          <w:rFonts w:ascii="Arial" w:hAnsi="Arial" w:cs="Arial"/>
          <w:szCs w:val="24"/>
        </w:rPr>
        <w:t>The right to equality, the right to human dignity, the right to life, the right to freedom and security of the person and in particular</w:t>
      </w:r>
      <w:r w:rsidR="00AB7A63" w:rsidRPr="002965EC">
        <w:rPr>
          <w:rFonts w:ascii="Arial" w:hAnsi="Arial" w:cs="Arial"/>
          <w:szCs w:val="24"/>
        </w:rPr>
        <w:t>,</w:t>
      </w:r>
      <w:r w:rsidRPr="002965EC">
        <w:rPr>
          <w:rFonts w:ascii="Arial" w:hAnsi="Arial" w:cs="Arial"/>
          <w:szCs w:val="24"/>
        </w:rPr>
        <w:t xml:space="preserve"> Section 12 (c)</w:t>
      </w:r>
      <w:r w:rsidR="00AB7A63" w:rsidRPr="002965EC">
        <w:rPr>
          <w:rFonts w:ascii="Arial" w:hAnsi="Arial" w:cs="Arial"/>
          <w:szCs w:val="24"/>
        </w:rPr>
        <w:t>,</w:t>
      </w:r>
      <w:r w:rsidRPr="002965EC">
        <w:rPr>
          <w:rFonts w:ascii="Arial" w:hAnsi="Arial" w:cs="Arial"/>
          <w:szCs w:val="24"/>
        </w:rPr>
        <w:t xml:space="preserve"> refers to the right to be free from all forms of violence from either public or private sources. The right to be free from slavery, servitude and forced labour,  the right to privacy, the right to freedom of religion, belief and opinion, the right to freedom of expression, the right to freedom of association, the right to freedom of movement, the right to property, the right to have access to adequate housing, the right to access adequate health care, food water and social security, the rights of children, the right to education, the to practice culture, religion and use of language and join linguistic associations, the right to access to information and the right to just administrative action, the right of access to court and the right of arrested, detained and accused persons, and the right of enforcement of rights are instruments and processes, if upheld, would sustain and improve the quality of life for women and the girl child. </w:t>
      </w:r>
    </w:p>
    <w:p w14:paraId="2FB12CBF" w14:textId="77777777" w:rsidR="006308AD" w:rsidRPr="002965EC" w:rsidRDefault="006308AD" w:rsidP="006308AD">
      <w:pPr>
        <w:widowControl w:val="0"/>
        <w:autoSpaceDE w:val="0"/>
        <w:autoSpaceDN w:val="0"/>
        <w:adjustRightInd w:val="0"/>
        <w:spacing w:after="0"/>
        <w:ind w:right="-330"/>
        <w:rPr>
          <w:rFonts w:ascii="Arial" w:hAnsi="Arial" w:cs="Arial"/>
          <w:szCs w:val="24"/>
        </w:rPr>
      </w:pPr>
    </w:p>
    <w:p w14:paraId="3B0E6F9B" w14:textId="77777777" w:rsidR="007C7AE1" w:rsidRPr="002965EC" w:rsidRDefault="007C7AE1" w:rsidP="007C7AE1">
      <w:pPr>
        <w:rPr>
          <w:rFonts w:ascii="Arial" w:hAnsi="Arial" w:cs="Arial"/>
          <w:szCs w:val="24"/>
        </w:rPr>
      </w:pPr>
      <w:r w:rsidRPr="002965EC">
        <w:rPr>
          <w:rFonts w:ascii="Arial" w:hAnsi="Arial" w:cs="Arial"/>
          <w:szCs w:val="24"/>
        </w:rPr>
        <w:t xml:space="preserve">In 2000 Cabinet adopted The South African National Policy Framework for Women’s Empowerment and Gender Equality. The implementation of </w:t>
      </w:r>
      <w:r w:rsidR="004A4979" w:rsidRPr="002965EC">
        <w:rPr>
          <w:rFonts w:ascii="Arial" w:hAnsi="Arial" w:cs="Arial"/>
          <w:szCs w:val="24"/>
        </w:rPr>
        <w:t xml:space="preserve">this policy </w:t>
      </w:r>
      <w:r w:rsidRPr="002965EC">
        <w:rPr>
          <w:rFonts w:ascii="Arial" w:hAnsi="Arial" w:cs="Arial"/>
          <w:szCs w:val="24"/>
        </w:rPr>
        <w:t>paved the way towards mainstreaming gender equity goals into current and future government policies and priorities.</w:t>
      </w:r>
    </w:p>
    <w:p w14:paraId="33DC6D71" w14:textId="77777777" w:rsidR="004A4979" w:rsidRPr="002965EC" w:rsidRDefault="004A4979" w:rsidP="004A4979">
      <w:pPr>
        <w:rPr>
          <w:rFonts w:ascii="Arial" w:hAnsi="Arial" w:cs="Arial"/>
          <w:szCs w:val="24"/>
        </w:rPr>
      </w:pPr>
      <w:r w:rsidRPr="002965EC">
        <w:rPr>
          <w:rFonts w:ascii="Arial" w:hAnsi="Arial" w:cs="Arial"/>
          <w:szCs w:val="24"/>
        </w:rPr>
        <w:t xml:space="preserve">South Africa signed and ratified several key treaties and instruments advancing women’s rights, empowerment and the achievement of gender equality at the United Nations (UN) level; African Union (AU) and Southern African Development Community (SADC) levels. The country has also ratified a total of 27 out of 189 UN International </w:t>
      </w:r>
      <w:proofErr w:type="spellStart"/>
      <w:r w:rsidRPr="002965EC">
        <w:rPr>
          <w:rFonts w:ascii="Arial" w:hAnsi="Arial" w:cs="Arial"/>
          <w:szCs w:val="24"/>
        </w:rPr>
        <w:t>Labour</w:t>
      </w:r>
      <w:proofErr w:type="spellEnd"/>
      <w:r w:rsidRPr="002965EC">
        <w:rPr>
          <w:rFonts w:ascii="Arial" w:hAnsi="Arial" w:cs="Arial"/>
          <w:szCs w:val="24"/>
        </w:rPr>
        <w:t xml:space="preserve"> </w:t>
      </w:r>
      <w:proofErr w:type="spellStart"/>
      <w:r w:rsidRPr="002965EC">
        <w:rPr>
          <w:rFonts w:ascii="Arial" w:hAnsi="Arial" w:cs="Arial"/>
          <w:szCs w:val="24"/>
        </w:rPr>
        <w:t>Organisation</w:t>
      </w:r>
      <w:proofErr w:type="spellEnd"/>
      <w:r w:rsidRPr="002965EC">
        <w:rPr>
          <w:rFonts w:ascii="Arial" w:hAnsi="Arial" w:cs="Arial"/>
          <w:szCs w:val="24"/>
        </w:rPr>
        <w:t xml:space="preserve"> (ILO) Conventions. Of these 27 conventions ratified by South Africa, 24 are in force</w:t>
      </w:r>
      <w:r w:rsidRPr="002965EC">
        <w:rPr>
          <w:rStyle w:val="FootnoteReference"/>
          <w:rFonts w:ascii="Arial" w:hAnsi="Arial" w:cs="Arial"/>
          <w:szCs w:val="24"/>
        </w:rPr>
        <w:footnoteReference w:id="1"/>
      </w:r>
      <w:r w:rsidRPr="002965EC">
        <w:rPr>
          <w:rFonts w:ascii="Arial" w:hAnsi="Arial" w:cs="Arial"/>
          <w:szCs w:val="24"/>
        </w:rPr>
        <w:t>. The main ones include:</w:t>
      </w:r>
    </w:p>
    <w:p w14:paraId="2A5F639D" w14:textId="77777777" w:rsidR="004A4979" w:rsidRPr="002965EC" w:rsidRDefault="004A4979" w:rsidP="00A63A02">
      <w:pPr>
        <w:pStyle w:val="ListParagraph"/>
        <w:numPr>
          <w:ilvl w:val="0"/>
          <w:numId w:val="3"/>
        </w:numPr>
        <w:rPr>
          <w:rFonts w:ascii="Arial" w:hAnsi="Arial" w:cs="Arial"/>
          <w:szCs w:val="24"/>
        </w:rPr>
      </w:pPr>
      <w:r w:rsidRPr="002965EC">
        <w:rPr>
          <w:rFonts w:ascii="Arial" w:hAnsi="Arial" w:cs="Arial"/>
          <w:szCs w:val="24"/>
        </w:rPr>
        <w:t>Convention on the Elimination of All Forms of Discrimination against Women (CEDAW), 1972. Adopted in 1995</w:t>
      </w:r>
    </w:p>
    <w:p w14:paraId="287D5687" w14:textId="77777777" w:rsidR="004A4979" w:rsidRPr="002965EC" w:rsidRDefault="004A4979" w:rsidP="00A63A02">
      <w:pPr>
        <w:pStyle w:val="ListParagraph"/>
        <w:numPr>
          <w:ilvl w:val="0"/>
          <w:numId w:val="3"/>
        </w:numPr>
        <w:rPr>
          <w:rFonts w:ascii="Arial" w:hAnsi="Arial" w:cs="Arial"/>
          <w:szCs w:val="24"/>
        </w:rPr>
      </w:pPr>
      <w:r w:rsidRPr="002965EC">
        <w:rPr>
          <w:rFonts w:ascii="Arial" w:hAnsi="Arial" w:cs="Arial"/>
          <w:szCs w:val="24"/>
        </w:rPr>
        <w:t>Universal Declaration of Human Rights, 1948</w:t>
      </w:r>
    </w:p>
    <w:p w14:paraId="6B6D405F" w14:textId="77777777" w:rsidR="004A4979" w:rsidRPr="002965EC" w:rsidRDefault="004A4979" w:rsidP="00A63A02">
      <w:pPr>
        <w:pStyle w:val="ListParagraph"/>
        <w:numPr>
          <w:ilvl w:val="0"/>
          <w:numId w:val="3"/>
        </w:numPr>
        <w:rPr>
          <w:rFonts w:ascii="Arial" w:hAnsi="Arial" w:cs="Arial"/>
          <w:szCs w:val="24"/>
        </w:rPr>
      </w:pPr>
      <w:r w:rsidRPr="002965EC">
        <w:rPr>
          <w:rFonts w:ascii="Arial" w:hAnsi="Arial" w:cs="Arial"/>
          <w:szCs w:val="24"/>
        </w:rPr>
        <w:t>Vienna Declaration for the Promotion and Protection of Human Rights, 1993</w:t>
      </w:r>
    </w:p>
    <w:p w14:paraId="594B79B7" w14:textId="77777777" w:rsidR="004A4979" w:rsidRPr="002965EC" w:rsidRDefault="004A4979" w:rsidP="00A63A02">
      <w:pPr>
        <w:pStyle w:val="ListParagraph"/>
        <w:numPr>
          <w:ilvl w:val="0"/>
          <w:numId w:val="3"/>
        </w:numPr>
        <w:rPr>
          <w:rFonts w:ascii="Arial" w:hAnsi="Arial" w:cs="Arial"/>
          <w:szCs w:val="24"/>
        </w:rPr>
      </w:pPr>
      <w:r w:rsidRPr="002965EC">
        <w:rPr>
          <w:rFonts w:ascii="Arial" w:hAnsi="Arial" w:cs="Arial"/>
          <w:szCs w:val="24"/>
        </w:rPr>
        <w:lastRenderedPageBreak/>
        <w:t>The Beijing Declaration and Platform for Action, 1995.</w:t>
      </w:r>
    </w:p>
    <w:p w14:paraId="3F894F67" w14:textId="77777777" w:rsidR="004A4979" w:rsidRPr="002965EC" w:rsidRDefault="004A4979" w:rsidP="00A63A02">
      <w:pPr>
        <w:pStyle w:val="ListParagraph"/>
        <w:numPr>
          <w:ilvl w:val="0"/>
          <w:numId w:val="3"/>
        </w:numPr>
        <w:rPr>
          <w:rFonts w:ascii="Arial" w:hAnsi="Arial" w:cs="Arial"/>
          <w:szCs w:val="24"/>
        </w:rPr>
      </w:pPr>
      <w:r w:rsidRPr="002965EC">
        <w:rPr>
          <w:rFonts w:ascii="Arial" w:hAnsi="Arial" w:cs="Arial"/>
          <w:szCs w:val="24"/>
        </w:rPr>
        <w:t>The UN Millennium Development Goals, 2000</w:t>
      </w:r>
    </w:p>
    <w:p w14:paraId="11B7E7CE" w14:textId="77777777" w:rsidR="004A4979" w:rsidRPr="002965EC" w:rsidRDefault="004A4979" w:rsidP="00A63A02">
      <w:pPr>
        <w:pStyle w:val="ListParagraph"/>
        <w:numPr>
          <w:ilvl w:val="0"/>
          <w:numId w:val="3"/>
        </w:numPr>
        <w:rPr>
          <w:rFonts w:ascii="Arial" w:hAnsi="Arial" w:cs="Arial"/>
          <w:szCs w:val="24"/>
        </w:rPr>
      </w:pPr>
      <w:r w:rsidRPr="002965EC">
        <w:rPr>
          <w:rFonts w:ascii="Arial" w:hAnsi="Arial" w:cs="Arial"/>
          <w:szCs w:val="24"/>
        </w:rPr>
        <w:t>The UN Sustainable Development Goals, 2015</w:t>
      </w:r>
    </w:p>
    <w:p w14:paraId="574484F4" w14:textId="77777777" w:rsidR="004A4979" w:rsidRPr="002965EC" w:rsidRDefault="004A4979" w:rsidP="00A63A02">
      <w:pPr>
        <w:pStyle w:val="ListParagraph"/>
        <w:numPr>
          <w:ilvl w:val="0"/>
          <w:numId w:val="3"/>
        </w:numPr>
        <w:rPr>
          <w:rFonts w:ascii="Arial" w:hAnsi="Arial" w:cs="Arial"/>
          <w:szCs w:val="24"/>
        </w:rPr>
      </w:pPr>
      <w:r w:rsidRPr="002965EC">
        <w:rPr>
          <w:rFonts w:ascii="Arial" w:hAnsi="Arial" w:cs="Arial"/>
          <w:szCs w:val="24"/>
        </w:rPr>
        <w:t>The Optional Protocol to the African Charter on Human and People’s Rights on the Rights of Women in Africa, 2004</w:t>
      </w:r>
    </w:p>
    <w:p w14:paraId="7AAD6A8A" w14:textId="77777777" w:rsidR="004A4979" w:rsidRPr="002965EC" w:rsidRDefault="004A4979" w:rsidP="00A63A02">
      <w:pPr>
        <w:pStyle w:val="ListParagraph"/>
        <w:numPr>
          <w:ilvl w:val="0"/>
          <w:numId w:val="3"/>
        </w:numPr>
        <w:rPr>
          <w:rFonts w:ascii="Arial" w:hAnsi="Arial" w:cs="Arial"/>
          <w:szCs w:val="24"/>
        </w:rPr>
      </w:pPr>
      <w:r w:rsidRPr="002965EC">
        <w:rPr>
          <w:rFonts w:ascii="Arial" w:hAnsi="Arial" w:cs="Arial"/>
          <w:szCs w:val="24"/>
        </w:rPr>
        <w:t>The AU Solemn Declaration on Gender Equality in Africa, 2004</w:t>
      </w:r>
    </w:p>
    <w:p w14:paraId="69DD3188" w14:textId="77777777" w:rsidR="004A4979" w:rsidRPr="002965EC" w:rsidRDefault="004A4979" w:rsidP="00A63A02">
      <w:pPr>
        <w:pStyle w:val="ListParagraph"/>
        <w:numPr>
          <w:ilvl w:val="0"/>
          <w:numId w:val="3"/>
        </w:numPr>
        <w:rPr>
          <w:rFonts w:ascii="Arial" w:hAnsi="Arial" w:cs="Arial"/>
          <w:szCs w:val="24"/>
        </w:rPr>
      </w:pPr>
      <w:r w:rsidRPr="002965EC">
        <w:rPr>
          <w:rFonts w:ascii="Arial" w:hAnsi="Arial" w:cs="Arial"/>
          <w:szCs w:val="24"/>
        </w:rPr>
        <w:t xml:space="preserve">The SADC Protocol on Gender and Development, 2008 </w:t>
      </w:r>
    </w:p>
    <w:p w14:paraId="65C222EB" w14:textId="77777777" w:rsidR="004A4979" w:rsidRPr="002965EC" w:rsidRDefault="004A4979" w:rsidP="00A63A02">
      <w:pPr>
        <w:pStyle w:val="ListParagraph"/>
        <w:numPr>
          <w:ilvl w:val="0"/>
          <w:numId w:val="3"/>
        </w:numPr>
        <w:rPr>
          <w:rFonts w:ascii="Arial" w:hAnsi="Arial" w:cs="Arial"/>
          <w:szCs w:val="24"/>
        </w:rPr>
      </w:pPr>
      <w:r w:rsidRPr="002965EC">
        <w:rPr>
          <w:rFonts w:ascii="Arial" w:hAnsi="Arial" w:cs="Arial"/>
          <w:szCs w:val="24"/>
        </w:rPr>
        <w:t>ILO Conventions C 100, C111, C182, C004, C041, C045, C189</w:t>
      </w:r>
    </w:p>
    <w:p w14:paraId="63C27C84" w14:textId="77777777" w:rsidR="006308AD" w:rsidRPr="002965EC" w:rsidRDefault="004A4979" w:rsidP="006308AD">
      <w:pPr>
        <w:rPr>
          <w:rFonts w:ascii="Arial" w:hAnsi="Arial" w:cs="Arial"/>
          <w:szCs w:val="24"/>
        </w:rPr>
      </w:pPr>
      <w:r w:rsidRPr="002965EC">
        <w:rPr>
          <w:rFonts w:ascii="Arial" w:hAnsi="Arial" w:cs="Arial"/>
          <w:szCs w:val="24"/>
        </w:rPr>
        <w:t>The Promotion of Equality and the Prevention of Unfair Discrimination Act, No 4 of 2000 (</w:t>
      </w:r>
      <w:r w:rsidR="006308AD" w:rsidRPr="002965EC">
        <w:rPr>
          <w:rFonts w:ascii="Arial" w:hAnsi="Arial" w:cs="Arial"/>
          <w:szCs w:val="24"/>
        </w:rPr>
        <w:t>PEPUDA</w:t>
      </w:r>
      <w:r w:rsidRPr="002965EC">
        <w:rPr>
          <w:rFonts w:ascii="Arial" w:hAnsi="Arial" w:cs="Arial"/>
          <w:szCs w:val="24"/>
        </w:rPr>
        <w:t>)</w:t>
      </w:r>
      <w:r w:rsidR="006308AD" w:rsidRPr="002965EC">
        <w:rPr>
          <w:rFonts w:ascii="Arial" w:hAnsi="Arial" w:cs="Arial"/>
          <w:szCs w:val="24"/>
        </w:rPr>
        <w:t xml:space="preserve"> also acknowledges the international legal obligations of the State as a signatory to such instruments promoting equality and prevention of unfair discrimination. In this regard, the mandate is therefore covering matters related to the obligations stemming from the ratification of the Convention on the Elimination of All Forms of Discrimination against Women (CEDAW), the AU Optional Protocol to the African Charter on Human and People’s Rights on the Rights of Women in Africa, as well as the SADC Protocol on Gender and Development, among others, as legally binding instruments.</w:t>
      </w:r>
    </w:p>
    <w:p w14:paraId="372FCA6A" w14:textId="77777777" w:rsidR="006308AD" w:rsidRPr="002965EC" w:rsidRDefault="006308AD" w:rsidP="004A4979">
      <w:pPr>
        <w:rPr>
          <w:rFonts w:ascii="Arial" w:hAnsi="Arial" w:cs="Arial"/>
          <w:szCs w:val="24"/>
        </w:rPr>
      </w:pPr>
      <w:r w:rsidRPr="002965EC">
        <w:rPr>
          <w:rFonts w:ascii="Arial" w:hAnsi="Arial" w:cs="Arial"/>
          <w:szCs w:val="24"/>
        </w:rPr>
        <w:t xml:space="preserve">In the first few years following the nascent of democracy, certain key areas of the law required immediate attention in respect of promoting and upholding the principles of the new Constitution of the country. These in the main included issues related to women’s employment and labour rights; women and girls’ access to basic education; women’s access to justice and protection against domestic violence and sexual crimes; maintenance of children and spouses; age of majority for women; women’s citizenship rights; women’s health rights, including the issue of abortion and sexual and health rights, among others. </w:t>
      </w:r>
    </w:p>
    <w:p w14:paraId="3F752504" w14:textId="77777777" w:rsidR="006308AD" w:rsidRDefault="006308AD" w:rsidP="004A4979">
      <w:pPr>
        <w:rPr>
          <w:rFonts w:ascii="Arial" w:hAnsi="Arial" w:cs="Arial"/>
          <w:szCs w:val="24"/>
        </w:rPr>
      </w:pPr>
      <w:r w:rsidRPr="002965EC">
        <w:rPr>
          <w:rFonts w:ascii="Arial" w:hAnsi="Arial" w:cs="Arial"/>
          <w:szCs w:val="24"/>
        </w:rPr>
        <w:t>This culminated in the enactment of pieces of critical legislation that have huge impact on particularly women’s lives such as the Employment Equity Act; the Choice of Termination of Pregnancy Act; the Labour Relations Act; The Basic Conditions of Employment Act; the Domestic Violence Act; the Sexual Offences and Related Matters Act; the Maintenance Act; the Commission for Gender Equality Act; the Promotion of Equality and Prevention of Unfair Discrimination Act, among the many laws repealed and / or amended to impact positively on the lives of the general populace of the country, especially Black South Africans.</w:t>
      </w:r>
    </w:p>
    <w:p w14:paraId="5C627000" w14:textId="77777777" w:rsidR="00D430A7" w:rsidRDefault="00D430A7" w:rsidP="004A4979">
      <w:pPr>
        <w:rPr>
          <w:rFonts w:ascii="Arial" w:hAnsi="Arial" w:cs="Arial"/>
          <w:szCs w:val="24"/>
        </w:rPr>
      </w:pPr>
    </w:p>
    <w:p w14:paraId="476F875E" w14:textId="77777777" w:rsidR="00D430A7" w:rsidRPr="002965EC" w:rsidRDefault="00D430A7" w:rsidP="004A4979">
      <w:pPr>
        <w:rPr>
          <w:rFonts w:ascii="Arial" w:hAnsi="Arial" w:cs="Arial"/>
          <w:szCs w:val="24"/>
        </w:rPr>
      </w:pPr>
    </w:p>
    <w:p w14:paraId="0C19E27F" w14:textId="77777777" w:rsidR="00BA63AD" w:rsidRPr="002965EC" w:rsidRDefault="00BA63AD" w:rsidP="00BA63AD">
      <w:pPr>
        <w:pStyle w:val="Heading2"/>
        <w:rPr>
          <w:rFonts w:ascii="Arial" w:hAnsi="Arial" w:cs="Arial"/>
        </w:rPr>
      </w:pPr>
      <w:bookmarkStart w:id="5" w:name="_Toc2094114"/>
      <w:r w:rsidRPr="002965EC">
        <w:rPr>
          <w:rFonts w:ascii="Arial" w:hAnsi="Arial" w:cs="Arial"/>
        </w:rPr>
        <w:lastRenderedPageBreak/>
        <w:t>Other Enabling Legislation</w:t>
      </w:r>
      <w:bookmarkEnd w:id="5"/>
    </w:p>
    <w:p w14:paraId="5812E605" w14:textId="77777777" w:rsidR="00CD2476" w:rsidRPr="002965EC" w:rsidRDefault="00CD2476" w:rsidP="004A4979">
      <w:pPr>
        <w:rPr>
          <w:rFonts w:ascii="Arial" w:hAnsi="Arial" w:cs="Arial"/>
          <w:szCs w:val="24"/>
        </w:rPr>
      </w:pPr>
    </w:p>
    <w:p w14:paraId="680F3D62" w14:textId="77777777" w:rsidR="006308AD" w:rsidRPr="002965EC" w:rsidRDefault="004A4979" w:rsidP="00827862">
      <w:pPr>
        <w:pStyle w:val="Heading3"/>
        <w:rPr>
          <w:rFonts w:ascii="Arial" w:hAnsi="Arial" w:cs="Arial"/>
        </w:rPr>
      </w:pPr>
      <w:bookmarkStart w:id="6" w:name="_Toc1372243"/>
      <w:bookmarkStart w:id="7" w:name="_Toc2094115"/>
      <w:r w:rsidRPr="002965EC">
        <w:rPr>
          <w:rFonts w:ascii="Arial" w:hAnsi="Arial" w:cs="Arial"/>
        </w:rPr>
        <w:t xml:space="preserve">Legislation related to </w:t>
      </w:r>
      <w:bookmarkEnd w:id="6"/>
      <w:r w:rsidR="007A4894" w:rsidRPr="002965EC">
        <w:rPr>
          <w:rFonts w:ascii="Arial" w:hAnsi="Arial" w:cs="Arial"/>
        </w:rPr>
        <w:t>l</w:t>
      </w:r>
      <w:r w:rsidR="00C330F8" w:rsidRPr="002965EC">
        <w:rPr>
          <w:rFonts w:ascii="Arial" w:hAnsi="Arial" w:cs="Arial"/>
        </w:rPr>
        <w:t>abour matters</w:t>
      </w:r>
      <w:bookmarkEnd w:id="7"/>
    </w:p>
    <w:p w14:paraId="2BB2C433" w14:textId="77777777" w:rsidR="006308AD" w:rsidRPr="002965EC" w:rsidRDefault="00C17C48" w:rsidP="001933ED">
      <w:pPr>
        <w:pStyle w:val="Heading4"/>
        <w:rPr>
          <w:rFonts w:ascii="Arial" w:hAnsi="Arial" w:cs="Arial"/>
        </w:rPr>
      </w:pPr>
      <w:r w:rsidRPr="002965EC">
        <w:rPr>
          <w:rFonts w:ascii="Arial" w:hAnsi="Arial" w:cs="Arial"/>
        </w:rPr>
        <w:t>Elimination of d</w:t>
      </w:r>
      <w:r w:rsidR="006308AD" w:rsidRPr="002965EC">
        <w:rPr>
          <w:rFonts w:ascii="Arial" w:hAnsi="Arial" w:cs="Arial"/>
        </w:rPr>
        <w:t>iscrimination and sexism in the workplace</w:t>
      </w:r>
    </w:p>
    <w:p w14:paraId="041DAC14" w14:textId="77777777" w:rsidR="006308AD" w:rsidRPr="002965EC" w:rsidRDefault="006308AD" w:rsidP="006308AD">
      <w:pPr>
        <w:rPr>
          <w:rFonts w:ascii="Arial" w:hAnsi="Arial" w:cs="Arial"/>
          <w:szCs w:val="24"/>
        </w:rPr>
      </w:pPr>
      <w:r w:rsidRPr="002965EC">
        <w:rPr>
          <w:rFonts w:ascii="Arial" w:hAnsi="Arial" w:cs="Arial"/>
          <w:szCs w:val="24"/>
        </w:rPr>
        <w:t xml:space="preserve">Many pieces of legislation have been enacted over the past 25 years, and in instances of continuing discrimination, further amendments have been made. This is in recognition of equality under section 9 of the Constitution, Article 11 of CEDAW and the ILO Conventions, including the Convention of 1958 on Discrimination (Employment and Occupation) (C111); and the Convention of 1951 on Equal Remuneration (C100), among others. </w:t>
      </w:r>
    </w:p>
    <w:p w14:paraId="015F1CB0" w14:textId="77777777" w:rsidR="006308AD" w:rsidRPr="002965EC" w:rsidRDefault="006308AD" w:rsidP="00F61FAB">
      <w:pPr>
        <w:pStyle w:val="Heading4"/>
        <w:rPr>
          <w:rFonts w:ascii="Arial" w:hAnsi="Arial" w:cs="Arial"/>
        </w:rPr>
      </w:pPr>
      <w:r w:rsidRPr="002965EC">
        <w:rPr>
          <w:rFonts w:ascii="Arial" w:hAnsi="Arial" w:cs="Arial"/>
        </w:rPr>
        <w:t>Basic Conditions of Employment</w:t>
      </w:r>
    </w:p>
    <w:p w14:paraId="38DC3FDD" w14:textId="77777777" w:rsidR="00B166C8" w:rsidRPr="002965EC" w:rsidRDefault="006308AD" w:rsidP="00B166C8">
      <w:pPr>
        <w:rPr>
          <w:rFonts w:ascii="Arial" w:hAnsi="Arial" w:cs="Arial"/>
        </w:rPr>
      </w:pPr>
      <w:r w:rsidRPr="002965EC">
        <w:rPr>
          <w:rFonts w:ascii="Arial" w:hAnsi="Arial" w:cs="Arial"/>
          <w:szCs w:val="24"/>
        </w:rPr>
        <w:t>The Labour Relations Act, No 66 of 1995 prohibits both direct and indirect unfair discrimination, and added the ground of family responsibility as a ground of discrimination. The issue of affirmative action adopted as a special measure to advance and promote women’s rights, empowerment and advancement in the workforce continues to prevail, and is not regarded as unfair discrimination. This principle is corroborated as well by the Basic Conditions of Employment Act, No 75 of 1997 and the Employment Equity Act, No 55 of 1998 and as amended in 2017. The Promotion of Equality and Prevention of Unfair Discrimination Act, No 4 of 2000 further reinforced these principles adopted legally.</w:t>
      </w:r>
      <w:r w:rsidR="00812750" w:rsidRPr="002965EC">
        <w:rPr>
          <w:rFonts w:ascii="Arial" w:hAnsi="Arial" w:cs="Arial"/>
          <w:szCs w:val="24"/>
        </w:rPr>
        <w:t xml:space="preserve"> In addition the, </w:t>
      </w:r>
      <w:r w:rsidR="00E401E2" w:rsidRPr="002965EC">
        <w:rPr>
          <w:rFonts w:ascii="Arial" w:hAnsi="Arial" w:cs="Arial"/>
          <w:szCs w:val="24"/>
        </w:rPr>
        <w:t xml:space="preserve">compensation for </w:t>
      </w:r>
      <w:r w:rsidR="00812750" w:rsidRPr="002965EC">
        <w:rPr>
          <w:rFonts w:ascii="Arial" w:hAnsi="Arial" w:cs="Arial"/>
          <w:szCs w:val="24"/>
        </w:rPr>
        <w:t>Occupational Injuries and Diseases Act provides</w:t>
      </w:r>
      <w:r w:rsidR="00812750" w:rsidRPr="002965EC">
        <w:rPr>
          <w:rFonts w:ascii="Arial" w:hAnsi="Arial" w:cs="Arial"/>
        </w:rPr>
        <w:t xml:space="preserve"> for compensation for disablement caused by occupational injuries or diseases sustained or contracted by employees in the course of their employment, or for death resulting from such injuries or diseases. </w:t>
      </w:r>
      <w:r w:rsidR="00B166C8" w:rsidRPr="002965EC">
        <w:rPr>
          <w:rFonts w:ascii="Arial" w:hAnsi="Arial" w:cs="Arial"/>
        </w:rPr>
        <w:t>Further, the Unemployment Insurance Act 2001, provides protection to workers who become unemployed. It prescribes claiming unemployment benefits for unemployment, maternity benefits, illness benefits, adoption benefits and dependents' benefits.</w:t>
      </w:r>
    </w:p>
    <w:p w14:paraId="748AD667" w14:textId="77777777" w:rsidR="0078293A" w:rsidRPr="002965EC" w:rsidRDefault="000A60EB" w:rsidP="0078293A">
      <w:pPr>
        <w:pStyle w:val="Heading4"/>
        <w:rPr>
          <w:rFonts w:ascii="Arial" w:hAnsi="Arial" w:cs="Arial"/>
        </w:rPr>
      </w:pPr>
      <w:r w:rsidRPr="002965EC">
        <w:rPr>
          <w:rFonts w:ascii="Arial" w:hAnsi="Arial" w:cs="Arial"/>
        </w:rPr>
        <w:t xml:space="preserve">Protection of </w:t>
      </w:r>
      <w:r w:rsidR="006308AD" w:rsidRPr="002965EC">
        <w:rPr>
          <w:rFonts w:ascii="Arial" w:hAnsi="Arial" w:cs="Arial"/>
        </w:rPr>
        <w:t>Domestic Workers</w:t>
      </w:r>
      <w:r w:rsidR="0078293A" w:rsidRPr="002965EC">
        <w:rPr>
          <w:rFonts w:ascii="Arial" w:hAnsi="Arial" w:cs="Arial"/>
        </w:rPr>
        <w:t xml:space="preserve"> and Farm/ Casual / Temporary / Seasonal Workers</w:t>
      </w:r>
    </w:p>
    <w:p w14:paraId="0D501FE9" w14:textId="77777777" w:rsidR="006308AD" w:rsidRPr="002965EC" w:rsidRDefault="0078293A" w:rsidP="006308AD">
      <w:pPr>
        <w:rPr>
          <w:rFonts w:ascii="Arial" w:hAnsi="Arial" w:cs="Arial"/>
          <w:szCs w:val="24"/>
        </w:rPr>
      </w:pPr>
      <w:r w:rsidRPr="002965EC">
        <w:rPr>
          <w:rFonts w:ascii="Arial" w:hAnsi="Arial" w:cs="Arial"/>
          <w:szCs w:val="24"/>
        </w:rPr>
        <w:t>In the early years following the advent of democracy, there was little to no protection for domestic and farm work</w:t>
      </w:r>
      <w:r w:rsidR="007F5B40" w:rsidRPr="002965EC">
        <w:rPr>
          <w:rFonts w:ascii="Arial" w:hAnsi="Arial" w:cs="Arial"/>
          <w:szCs w:val="24"/>
        </w:rPr>
        <w:t>ers. This category of people, wh</w:t>
      </w:r>
      <w:r w:rsidRPr="002965EC">
        <w:rPr>
          <w:rFonts w:ascii="Arial" w:hAnsi="Arial" w:cs="Arial"/>
          <w:szCs w:val="24"/>
        </w:rPr>
        <w:t xml:space="preserve">ere poor, black and African women were mainly confined, suffered tremendous discrimination, inequality </w:t>
      </w:r>
      <w:r w:rsidR="000C4BF3" w:rsidRPr="002965EC">
        <w:rPr>
          <w:rFonts w:ascii="Arial" w:hAnsi="Arial" w:cs="Arial"/>
          <w:szCs w:val="24"/>
        </w:rPr>
        <w:t>abuse at the hands of their employers, particularly white employers</w:t>
      </w:r>
      <w:r w:rsidR="006308AD" w:rsidRPr="002965EC">
        <w:rPr>
          <w:rFonts w:ascii="Arial" w:hAnsi="Arial" w:cs="Arial"/>
          <w:szCs w:val="24"/>
        </w:rPr>
        <w:t xml:space="preserve">, violated, paid inadequately, treated badly and had no protection of their rights as workers. A most significant </w:t>
      </w:r>
      <w:r w:rsidR="00393162" w:rsidRPr="002965EC">
        <w:rPr>
          <w:rFonts w:ascii="Arial" w:hAnsi="Arial" w:cs="Arial"/>
          <w:szCs w:val="24"/>
        </w:rPr>
        <w:t xml:space="preserve">intervention </w:t>
      </w:r>
      <w:r w:rsidR="006308AD" w:rsidRPr="002965EC">
        <w:rPr>
          <w:rFonts w:ascii="Arial" w:hAnsi="Arial" w:cs="Arial"/>
          <w:szCs w:val="24"/>
        </w:rPr>
        <w:t xml:space="preserve">made </w:t>
      </w:r>
      <w:r w:rsidR="00393162" w:rsidRPr="002965EC">
        <w:rPr>
          <w:rFonts w:ascii="Arial" w:hAnsi="Arial" w:cs="Arial"/>
          <w:szCs w:val="24"/>
        </w:rPr>
        <w:t>by government i</w:t>
      </w:r>
      <w:r w:rsidR="006308AD" w:rsidRPr="002965EC">
        <w:rPr>
          <w:rFonts w:ascii="Arial" w:hAnsi="Arial" w:cs="Arial"/>
          <w:szCs w:val="24"/>
        </w:rPr>
        <w:t>s the protection of the domestic worker through the Sectoral Determination No 7: Domestic Worker Sector</w:t>
      </w:r>
      <w:r w:rsidR="006308AD" w:rsidRPr="002965EC">
        <w:rPr>
          <w:rStyle w:val="FootnoteReference"/>
          <w:rFonts w:ascii="Arial" w:hAnsi="Arial" w:cs="Arial"/>
          <w:szCs w:val="24"/>
        </w:rPr>
        <w:footnoteReference w:id="2"/>
      </w:r>
      <w:r w:rsidR="006308AD" w:rsidRPr="002965EC">
        <w:rPr>
          <w:rFonts w:ascii="Arial" w:hAnsi="Arial" w:cs="Arial"/>
          <w:szCs w:val="24"/>
        </w:rPr>
        <w:t xml:space="preserve"> (under s51 (1) of the Basic Conditions of Employment Act, No 75 of 1997), adopted on 15 August 2002. This </w:t>
      </w:r>
      <w:r w:rsidR="006308AD" w:rsidRPr="002965EC">
        <w:rPr>
          <w:rFonts w:ascii="Arial" w:hAnsi="Arial" w:cs="Arial"/>
          <w:szCs w:val="24"/>
        </w:rPr>
        <w:lastRenderedPageBreak/>
        <w:t xml:space="preserve">guarantees domestic workers certain basic conditions of work, a minimum wage, and their access to UIF and sought to regulate this sector. </w:t>
      </w:r>
    </w:p>
    <w:p w14:paraId="55E4F619" w14:textId="77777777" w:rsidR="00013B62" w:rsidRPr="002965EC" w:rsidRDefault="00013B62" w:rsidP="00013B62">
      <w:pPr>
        <w:rPr>
          <w:rFonts w:ascii="Arial" w:hAnsi="Arial" w:cs="Arial"/>
          <w:szCs w:val="24"/>
        </w:rPr>
      </w:pPr>
      <w:r w:rsidRPr="002965EC">
        <w:rPr>
          <w:rFonts w:ascii="Arial" w:hAnsi="Arial" w:cs="Arial"/>
          <w:szCs w:val="24"/>
        </w:rPr>
        <w:t xml:space="preserve">Employment of female farm workers, often tied directly to their husband’s employment with the farmer, </w:t>
      </w:r>
      <w:r w:rsidR="00892520" w:rsidRPr="002965EC">
        <w:rPr>
          <w:rFonts w:ascii="Arial" w:hAnsi="Arial" w:cs="Arial"/>
          <w:szCs w:val="24"/>
        </w:rPr>
        <w:t xml:space="preserve">have </w:t>
      </w:r>
      <w:r w:rsidRPr="002965EC">
        <w:rPr>
          <w:rFonts w:ascii="Arial" w:hAnsi="Arial" w:cs="Arial"/>
          <w:szCs w:val="24"/>
        </w:rPr>
        <w:t>extended protection offered by the Labour Relations Act, No 66 of 1995 and the Basic Conditions of Employment Act, No 75 of 1997</w:t>
      </w:r>
      <w:r w:rsidR="00892520" w:rsidRPr="002965EC">
        <w:rPr>
          <w:rFonts w:ascii="Arial" w:hAnsi="Arial" w:cs="Arial"/>
          <w:szCs w:val="24"/>
        </w:rPr>
        <w:t xml:space="preserve"> </w:t>
      </w:r>
      <w:r w:rsidRPr="002965EC">
        <w:rPr>
          <w:rFonts w:ascii="Arial" w:hAnsi="Arial" w:cs="Arial"/>
          <w:szCs w:val="24"/>
        </w:rPr>
        <w:t xml:space="preserve"> and the Sectoral Determination 8: Farm Workers</w:t>
      </w:r>
    </w:p>
    <w:p w14:paraId="4BC20FB9" w14:textId="77777777" w:rsidR="00013B62" w:rsidRPr="002965EC" w:rsidRDefault="00013B62" w:rsidP="00013B62">
      <w:pPr>
        <w:rPr>
          <w:rFonts w:ascii="Arial" w:hAnsi="Arial" w:cs="Arial"/>
          <w:szCs w:val="24"/>
        </w:rPr>
      </w:pPr>
      <w:r w:rsidRPr="002965EC">
        <w:rPr>
          <w:rFonts w:ascii="Arial" w:hAnsi="Arial" w:cs="Arial"/>
          <w:szCs w:val="24"/>
        </w:rPr>
        <w:t>Part-time workers tend in the main to be women, and previously did not qualify for rights and benefits because of this status. However, over the past 25 years, this issue has been addressed through the Basic Conditions of Employment Act, No 75 of 1997.</w:t>
      </w:r>
    </w:p>
    <w:p w14:paraId="6EE20299" w14:textId="77777777" w:rsidR="006308AD" w:rsidRPr="002965EC" w:rsidRDefault="00013B62" w:rsidP="00F61FAB">
      <w:pPr>
        <w:pStyle w:val="Heading4"/>
        <w:rPr>
          <w:rFonts w:ascii="Arial" w:hAnsi="Arial" w:cs="Arial"/>
        </w:rPr>
      </w:pPr>
      <w:r w:rsidRPr="002965EC">
        <w:rPr>
          <w:rFonts w:ascii="Arial" w:hAnsi="Arial" w:cs="Arial"/>
        </w:rPr>
        <w:t xml:space="preserve">Elimination of </w:t>
      </w:r>
      <w:r w:rsidR="006308AD" w:rsidRPr="002965EC">
        <w:rPr>
          <w:rFonts w:ascii="Arial" w:hAnsi="Arial" w:cs="Arial"/>
        </w:rPr>
        <w:t>Sexual Harassment in the Workplace</w:t>
      </w:r>
    </w:p>
    <w:p w14:paraId="6F8A91FA" w14:textId="77777777" w:rsidR="006308AD" w:rsidRPr="002965EC" w:rsidRDefault="00AC5930" w:rsidP="006308AD">
      <w:pPr>
        <w:rPr>
          <w:rFonts w:ascii="Arial" w:hAnsi="Arial" w:cs="Arial"/>
          <w:szCs w:val="24"/>
        </w:rPr>
      </w:pPr>
      <w:r w:rsidRPr="002965EC">
        <w:rPr>
          <w:rFonts w:ascii="Arial" w:hAnsi="Arial" w:cs="Arial"/>
          <w:szCs w:val="24"/>
        </w:rPr>
        <w:t>S</w:t>
      </w:r>
      <w:r w:rsidR="006308AD" w:rsidRPr="002965EC">
        <w:rPr>
          <w:rFonts w:ascii="Arial" w:hAnsi="Arial" w:cs="Arial"/>
          <w:szCs w:val="24"/>
        </w:rPr>
        <w:t xml:space="preserve">exual harassment in the workplace </w:t>
      </w:r>
      <w:r w:rsidRPr="002965EC">
        <w:rPr>
          <w:rFonts w:ascii="Arial" w:hAnsi="Arial" w:cs="Arial"/>
          <w:szCs w:val="24"/>
        </w:rPr>
        <w:t>is</w:t>
      </w:r>
      <w:r w:rsidR="006308AD" w:rsidRPr="002965EC">
        <w:rPr>
          <w:rFonts w:ascii="Arial" w:hAnsi="Arial" w:cs="Arial"/>
          <w:szCs w:val="24"/>
        </w:rPr>
        <w:t xml:space="preserve"> designated an unfair labour practice in the Labour Relations Act, No 66 of 1995, and also regulated through a Code of Good Practice on Sexual Harassment (1998) and the Code of Good Practice on the Handling of </w:t>
      </w:r>
      <w:r w:rsidRPr="002965EC">
        <w:rPr>
          <w:rFonts w:ascii="Arial" w:hAnsi="Arial" w:cs="Arial"/>
          <w:szCs w:val="24"/>
        </w:rPr>
        <w:t xml:space="preserve">Sexual Harassment Cases (2005). The Employment Equity Act, No 55 of 1998 includes harassment as a form of unfair discrimination.  </w:t>
      </w:r>
      <w:r w:rsidR="006308AD" w:rsidRPr="002965EC">
        <w:rPr>
          <w:rFonts w:ascii="Arial" w:hAnsi="Arial" w:cs="Arial"/>
          <w:szCs w:val="24"/>
        </w:rPr>
        <w:t>Until 19 December 2018, employers had to apply 2 Codes of Good Practice on Sexual Harassment in the workplace</w:t>
      </w:r>
      <w:r w:rsidR="006308AD" w:rsidRPr="002965EC">
        <w:rPr>
          <w:rStyle w:val="FootnoteReference"/>
          <w:rFonts w:ascii="Arial" w:hAnsi="Arial" w:cs="Arial"/>
          <w:szCs w:val="24"/>
        </w:rPr>
        <w:footnoteReference w:id="3"/>
      </w:r>
      <w:r w:rsidR="006308AD" w:rsidRPr="002965EC">
        <w:rPr>
          <w:rFonts w:ascii="Arial" w:hAnsi="Arial" w:cs="Arial"/>
          <w:szCs w:val="24"/>
        </w:rPr>
        <w:t>. The first Code was issued in 1998 and amended on 4 August 2005. The amended Code introduced a new definition for what constitutes sexual harassment and provides guidance on determining whether the act of sexual harassment has occurred; as well as steps for employers to implement a sexual a sexual harassment policy. On 19 December 2018, the Minister of Labour formerly repealed and replaced the 1998 Code with the Amended Code of 2005 which now provides clarity and certainty to the process.</w:t>
      </w:r>
    </w:p>
    <w:p w14:paraId="320F2154" w14:textId="77777777" w:rsidR="006308AD" w:rsidRPr="002965EC" w:rsidRDefault="00471F08" w:rsidP="00F61FAB">
      <w:pPr>
        <w:pStyle w:val="Heading4"/>
        <w:rPr>
          <w:rFonts w:ascii="Arial" w:hAnsi="Arial" w:cs="Arial"/>
        </w:rPr>
      </w:pPr>
      <w:r w:rsidRPr="002965EC">
        <w:rPr>
          <w:rFonts w:ascii="Arial" w:hAnsi="Arial" w:cs="Arial"/>
        </w:rPr>
        <w:t xml:space="preserve">Reducing the </w:t>
      </w:r>
      <w:r w:rsidR="006308AD" w:rsidRPr="002965EC">
        <w:rPr>
          <w:rFonts w:ascii="Arial" w:hAnsi="Arial" w:cs="Arial"/>
        </w:rPr>
        <w:t xml:space="preserve">Wage Gap </w:t>
      </w:r>
    </w:p>
    <w:p w14:paraId="097E5096" w14:textId="77777777" w:rsidR="006308AD" w:rsidRPr="002965EC" w:rsidRDefault="006308AD" w:rsidP="006308AD">
      <w:pPr>
        <w:rPr>
          <w:rFonts w:ascii="Arial" w:hAnsi="Arial" w:cs="Arial"/>
          <w:szCs w:val="24"/>
        </w:rPr>
      </w:pPr>
      <w:r w:rsidRPr="002965EC">
        <w:rPr>
          <w:rFonts w:ascii="Arial" w:hAnsi="Arial" w:cs="Arial"/>
          <w:szCs w:val="24"/>
        </w:rPr>
        <w:t>The ILO Equal Remuneration Convention 1951 (C 100), which South Africa ratified in 2000, obliges the state to give effect to the principle of equal pay for women and men workers for work of equal value. The Minister of Labour issued a Code of Good Practice on Equal Pay / Remuneration for Work of Equal Value on 1</w:t>
      </w:r>
      <w:r w:rsidRPr="002965EC">
        <w:rPr>
          <w:rFonts w:ascii="Arial" w:hAnsi="Arial" w:cs="Arial"/>
          <w:szCs w:val="24"/>
          <w:vertAlign w:val="superscript"/>
        </w:rPr>
        <w:t>st</w:t>
      </w:r>
      <w:r w:rsidRPr="002965EC">
        <w:rPr>
          <w:rFonts w:ascii="Arial" w:hAnsi="Arial" w:cs="Arial"/>
          <w:szCs w:val="24"/>
        </w:rPr>
        <w:t xml:space="preserve"> June 2015, issued in line with s54 (1) of the Employment Act, No 55 of 1998, as amended. The Code promotes the elimination of unfair discrimination in respect of pay / remuneration by applying the principle of equal pay / remuneration for work of equal value. It was only in 2017 with the adoption of the amendments to the Employment Equity Act that there is legal redress for equal pay for work of equal value. In practice nothing has really changed in this regard for women. </w:t>
      </w:r>
    </w:p>
    <w:p w14:paraId="4DE63F64" w14:textId="77777777" w:rsidR="006308AD" w:rsidRPr="002965EC" w:rsidRDefault="00465F7F" w:rsidP="00F61FAB">
      <w:pPr>
        <w:pStyle w:val="Heading4"/>
        <w:rPr>
          <w:rFonts w:ascii="Arial" w:hAnsi="Arial" w:cs="Arial"/>
        </w:rPr>
      </w:pPr>
      <w:r w:rsidRPr="002965EC">
        <w:rPr>
          <w:rFonts w:ascii="Arial" w:hAnsi="Arial" w:cs="Arial"/>
        </w:rPr>
        <w:lastRenderedPageBreak/>
        <w:t xml:space="preserve">Expansion of </w:t>
      </w:r>
      <w:r w:rsidR="006308AD" w:rsidRPr="002965EC">
        <w:rPr>
          <w:rFonts w:ascii="Arial" w:hAnsi="Arial" w:cs="Arial"/>
        </w:rPr>
        <w:t>Parental Leave</w:t>
      </w:r>
    </w:p>
    <w:p w14:paraId="151AC250" w14:textId="77777777" w:rsidR="002A3FD9" w:rsidRPr="002965EC" w:rsidRDefault="006308AD" w:rsidP="002A3FD9">
      <w:pPr>
        <w:rPr>
          <w:rFonts w:ascii="Arial" w:hAnsi="Arial" w:cs="Arial"/>
          <w:b/>
          <w:i/>
        </w:rPr>
      </w:pPr>
      <w:r w:rsidRPr="002965EC">
        <w:rPr>
          <w:rFonts w:ascii="Arial" w:hAnsi="Arial" w:cs="Arial"/>
          <w:szCs w:val="24"/>
        </w:rPr>
        <w:t>Labour legislation in the country has also paid heed to family responsibility, both as a criterion on which discrimination is prohibited as well as a factor to be considered in terms of regulations related to working times of employees. The Basic Conditions of Employment Act, No 75 of 1997 provides for three days paid family responsibility leave per annum, where the employee has worked for longer than four months and works at least four days per week. This leave is intended for time off to care for a sick child and on the death of a spouse / life partner, parent, grandparent, child, grandchild or sibling</w:t>
      </w:r>
      <w:r w:rsidRPr="002965EC">
        <w:rPr>
          <w:rStyle w:val="FootnoteReference"/>
          <w:rFonts w:ascii="Arial" w:hAnsi="Arial" w:cs="Arial"/>
          <w:szCs w:val="24"/>
        </w:rPr>
        <w:footnoteReference w:id="4"/>
      </w:r>
      <w:r w:rsidRPr="002965EC">
        <w:rPr>
          <w:rFonts w:ascii="Arial" w:hAnsi="Arial" w:cs="Arial"/>
          <w:szCs w:val="24"/>
        </w:rPr>
        <w:t xml:space="preserve">. </w:t>
      </w:r>
      <w:r w:rsidR="002A3FD9" w:rsidRPr="002965EC">
        <w:rPr>
          <w:rFonts w:ascii="Arial" w:hAnsi="Arial" w:cs="Arial"/>
          <w:szCs w:val="24"/>
        </w:rPr>
        <w:t xml:space="preserve">In addition </w:t>
      </w:r>
      <w:r w:rsidR="002A3FD9" w:rsidRPr="002965EC">
        <w:rPr>
          <w:rFonts w:ascii="Arial" w:hAnsi="Arial" w:cs="Arial"/>
        </w:rPr>
        <w:t xml:space="preserve">parental leave provisions have been reformed to incentivize men to take on more child care. In November 2018 President Cyril </w:t>
      </w:r>
      <w:proofErr w:type="spellStart"/>
      <w:r w:rsidR="002A3FD9" w:rsidRPr="002965EC">
        <w:rPr>
          <w:rFonts w:ascii="Arial" w:hAnsi="Arial" w:cs="Arial"/>
        </w:rPr>
        <w:t>Ramaphosa</w:t>
      </w:r>
      <w:proofErr w:type="spellEnd"/>
      <w:r w:rsidR="002A3FD9" w:rsidRPr="002965EC">
        <w:rPr>
          <w:rFonts w:ascii="Arial" w:hAnsi="Arial" w:cs="Arial"/>
        </w:rPr>
        <w:t xml:space="preserve"> signed the much-anticipated Labour Laws Amendment Bill into law. This legislation gives fathers in South Africa the right to 10 days paid parental leave. Previously, the Basic Conditions of Employment Act only catered for four months maternity leave and three days’ paid family responsibility leave in certain circumstances – including the birth of a child.</w:t>
      </w:r>
    </w:p>
    <w:p w14:paraId="3E9D2884" w14:textId="77777777" w:rsidR="006308AD" w:rsidRPr="002965EC" w:rsidRDefault="006308AD" w:rsidP="00F61FAB">
      <w:pPr>
        <w:pStyle w:val="Heading4"/>
        <w:rPr>
          <w:rFonts w:ascii="Arial" w:hAnsi="Arial" w:cs="Arial"/>
        </w:rPr>
      </w:pPr>
      <w:r w:rsidRPr="002965EC">
        <w:rPr>
          <w:rFonts w:ascii="Arial" w:hAnsi="Arial" w:cs="Arial"/>
        </w:rPr>
        <w:t xml:space="preserve">Pregnancy and Reproductive Health </w:t>
      </w:r>
    </w:p>
    <w:p w14:paraId="2E28254C" w14:textId="77777777" w:rsidR="006308AD" w:rsidRPr="002965EC" w:rsidRDefault="006308AD" w:rsidP="006308AD">
      <w:pPr>
        <w:rPr>
          <w:rFonts w:ascii="Arial" w:hAnsi="Arial" w:cs="Arial"/>
          <w:szCs w:val="24"/>
        </w:rPr>
      </w:pPr>
      <w:r w:rsidRPr="002965EC">
        <w:rPr>
          <w:rFonts w:ascii="Arial" w:hAnsi="Arial" w:cs="Arial"/>
          <w:szCs w:val="24"/>
        </w:rPr>
        <w:t>No person may be discriminated against or dismissed on account to pregnancy (s9(3) and (4) of the Constitution). Pregnant employees are strongly protected under South African Law since 1994. There are no fewer than 6 pieces of legislation protecting pregnancy and post-pregnancy employees.</w:t>
      </w:r>
    </w:p>
    <w:p w14:paraId="552BAA2D" w14:textId="77777777" w:rsidR="006308AD" w:rsidRPr="002965EC" w:rsidRDefault="006308AD" w:rsidP="006308AD">
      <w:pPr>
        <w:rPr>
          <w:rFonts w:ascii="Arial" w:hAnsi="Arial" w:cs="Arial"/>
          <w:i/>
          <w:iCs/>
          <w:szCs w:val="24"/>
          <w:shd w:val="clear" w:color="auto" w:fill="FFFF00"/>
        </w:rPr>
      </w:pPr>
      <w:r w:rsidRPr="002965EC">
        <w:rPr>
          <w:rFonts w:ascii="Arial" w:hAnsi="Arial" w:cs="Arial"/>
          <w:szCs w:val="24"/>
        </w:rPr>
        <w:t>On the issue of reproductive health, the Basic Conditions of Employment Act, No 75 of 1997 prescribes particular safeguards in cases of pregnancy. It ensures that pregnant women, and nursing mothers, are protected against performing work that is hazardous to her health or that of her child. The Code of Good Practice on the Protection of Employees during Pregnancy and after the Birth of a Child refers to s26 (1) of the Basic Conditions of Employment Act, No 75 of 1997, which in turn protects breast-feeding mothers upon their return to work. This is further entrenched in the Labour Relations Act, No 66 of 1995 and the Employment Equity Act, No 55 of 1998. In the matter of reproductive health and safety at the workplace, the Occupational Health and Safety Act, No 85 of 1993 also comes into play.</w:t>
      </w:r>
      <w:r w:rsidR="00812750" w:rsidRPr="002965EC">
        <w:rPr>
          <w:rFonts w:ascii="Arial" w:hAnsi="Arial" w:cs="Arial"/>
          <w:i/>
          <w:iCs/>
          <w:szCs w:val="24"/>
          <w:shd w:val="clear" w:color="auto" w:fill="FFFF00"/>
        </w:rPr>
        <w:t xml:space="preserve"> </w:t>
      </w:r>
    </w:p>
    <w:p w14:paraId="072C6AD3" w14:textId="77777777" w:rsidR="00F61FAB" w:rsidRPr="002965EC" w:rsidRDefault="00827862" w:rsidP="00827862">
      <w:pPr>
        <w:pStyle w:val="Heading3"/>
        <w:rPr>
          <w:rFonts w:ascii="Arial" w:hAnsi="Arial" w:cs="Arial"/>
        </w:rPr>
      </w:pPr>
      <w:bookmarkStart w:id="8" w:name="_Toc2094116"/>
      <w:r w:rsidRPr="002965EC">
        <w:rPr>
          <w:rFonts w:ascii="Arial" w:hAnsi="Arial" w:cs="Arial"/>
        </w:rPr>
        <w:t>L</w:t>
      </w:r>
      <w:r w:rsidR="00C330F8" w:rsidRPr="002965EC">
        <w:rPr>
          <w:rFonts w:ascii="Arial" w:hAnsi="Arial" w:cs="Arial"/>
        </w:rPr>
        <w:t>egislation related to Economic matters</w:t>
      </w:r>
      <w:bookmarkEnd w:id="8"/>
    </w:p>
    <w:p w14:paraId="4E0AD866" w14:textId="77777777" w:rsidR="006308AD" w:rsidRPr="002965EC" w:rsidRDefault="006308AD" w:rsidP="006308AD">
      <w:pPr>
        <w:rPr>
          <w:rFonts w:ascii="Arial" w:hAnsi="Arial" w:cs="Arial"/>
          <w:szCs w:val="24"/>
        </w:rPr>
      </w:pPr>
      <w:r w:rsidRPr="002965EC">
        <w:rPr>
          <w:rFonts w:ascii="Arial" w:hAnsi="Arial" w:cs="Arial"/>
          <w:szCs w:val="24"/>
        </w:rPr>
        <w:t xml:space="preserve">According to CEDAW, State Parties must ensure that there is social and economic equality between women and men, and women must have the same rights as men to family benefits, banking systems, credit and loans, and mortgages. Unfortunately, economic polices (macroeconomic) have largely tended to be gender blind over the past 25 years. </w:t>
      </w:r>
    </w:p>
    <w:p w14:paraId="111CA04B" w14:textId="77777777" w:rsidR="006308AD" w:rsidRPr="002965EC" w:rsidRDefault="006308AD" w:rsidP="006308AD">
      <w:pPr>
        <w:rPr>
          <w:rFonts w:ascii="Arial" w:hAnsi="Arial" w:cs="Arial"/>
          <w:szCs w:val="24"/>
        </w:rPr>
      </w:pPr>
      <w:r w:rsidRPr="002965EC">
        <w:rPr>
          <w:rFonts w:ascii="Arial" w:hAnsi="Arial" w:cs="Arial"/>
          <w:szCs w:val="24"/>
        </w:rPr>
        <w:lastRenderedPageBreak/>
        <w:t xml:space="preserve">Attempts to redress this challenge have been instituted through various measures, including the Women’s Budget Initiative from 1996. This resulted in the 1997/98 Budget Review of the country being more gender sensitive than in other years and provided programmes and policies that targeted women. Unfortunately, this initiative was not sustained, and in 2018, the country is still attempting to embark upon a gender responsive planning and budgeting process to ensure that the National Budget Mandate Paper is engendered and therefore responsive to the needs of women and girls. This process requires that there is gender-disaggregated statistics and data, targets and indicators of gender equality. </w:t>
      </w:r>
    </w:p>
    <w:p w14:paraId="123E0B8E" w14:textId="77777777" w:rsidR="006308AD" w:rsidRPr="002965EC" w:rsidRDefault="006308AD" w:rsidP="00F61FAB">
      <w:pPr>
        <w:pStyle w:val="Heading4"/>
        <w:rPr>
          <w:rFonts w:ascii="Arial" w:hAnsi="Arial" w:cs="Arial"/>
        </w:rPr>
      </w:pPr>
      <w:r w:rsidRPr="002965EC">
        <w:rPr>
          <w:rFonts w:ascii="Arial" w:hAnsi="Arial" w:cs="Arial"/>
        </w:rPr>
        <w:t>Taxes</w:t>
      </w:r>
    </w:p>
    <w:p w14:paraId="714E03CD" w14:textId="77777777" w:rsidR="006308AD" w:rsidRPr="002965EC" w:rsidRDefault="006308AD" w:rsidP="00214EE6">
      <w:pPr>
        <w:shd w:val="clear" w:color="auto" w:fill="FFFFFF"/>
        <w:rPr>
          <w:rFonts w:ascii="Arial" w:hAnsi="Arial" w:cs="Arial"/>
        </w:rPr>
      </w:pPr>
      <w:r w:rsidRPr="002965EC">
        <w:rPr>
          <w:rFonts w:ascii="Arial" w:hAnsi="Arial" w:cs="Arial"/>
          <w:szCs w:val="24"/>
        </w:rPr>
        <w:t xml:space="preserve">In terms of taxation, prior to 1994, there was unequal taxation between men and women, especially in the instance of married women. In 1995/96 discriminatory aspects of the tax structure for married women were removed. Value Added Tax (VAT) was introduced as part of the shift from direct to indirect taxation. Although some items, mainly of foodstuffs, were exempt from VAT, women continued to struggle for additional items to be zero-rated, given that the burden of poverty, household food insecurity and hunger rested chiefly in the hands of women.  </w:t>
      </w:r>
      <w:r w:rsidR="00FA3269" w:rsidRPr="002965EC">
        <w:rPr>
          <w:rFonts w:ascii="Arial" w:hAnsi="Arial" w:cs="Arial"/>
          <w:szCs w:val="24"/>
        </w:rPr>
        <w:t>From 1 April 2019, sanitary pads</w:t>
      </w:r>
      <w:r w:rsidR="007C1504" w:rsidRPr="002965EC">
        <w:rPr>
          <w:rFonts w:ascii="Arial" w:hAnsi="Arial" w:cs="Arial"/>
          <w:szCs w:val="24"/>
        </w:rPr>
        <w:t>, bread flour and cake flour</w:t>
      </w:r>
      <w:r w:rsidR="00FA3269" w:rsidRPr="002965EC">
        <w:rPr>
          <w:rFonts w:ascii="Arial" w:hAnsi="Arial" w:cs="Arial"/>
          <w:szCs w:val="24"/>
        </w:rPr>
        <w:t xml:space="preserve"> will be VAT exempt</w:t>
      </w:r>
      <w:r w:rsidR="007C1504" w:rsidRPr="002965EC">
        <w:rPr>
          <w:rFonts w:ascii="Arial" w:hAnsi="Arial" w:cs="Arial"/>
          <w:szCs w:val="24"/>
        </w:rPr>
        <w:t xml:space="preserve">. </w:t>
      </w:r>
      <w:r w:rsidR="00FA3269" w:rsidRPr="002965EC">
        <w:rPr>
          <w:rFonts w:ascii="Arial" w:hAnsi="Arial" w:cs="Arial"/>
          <w:szCs w:val="24"/>
        </w:rPr>
        <w:t xml:space="preserve"> </w:t>
      </w:r>
      <w:r w:rsidR="007C1504" w:rsidRPr="002965EC">
        <w:rPr>
          <w:rFonts w:ascii="Arial" w:hAnsi="Arial" w:cs="Arial"/>
          <w:szCs w:val="24"/>
        </w:rPr>
        <w:t xml:space="preserve"> Currently the following food items are VAT exempt items: dried beans, </w:t>
      </w:r>
      <w:proofErr w:type="spellStart"/>
      <w:r w:rsidR="007C1504" w:rsidRPr="002965EC">
        <w:rPr>
          <w:rFonts w:ascii="Arial" w:hAnsi="Arial" w:cs="Arial"/>
          <w:szCs w:val="24"/>
        </w:rPr>
        <w:t>samp</w:t>
      </w:r>
      <w:proofErr w:type="spellEnd"/>
      <w:r w:rsidR="007C1504" w:rsidRPr="002965EC">
        <w:rPr>
          <w:rFonts w:ascii="Arial" w:hAnsi="Arial" w:cs="Arial"/>
          <w:szCs w:val="24"/>
        </w:rPr>
        <w:t>, maize meal, rice, brown bread, vegetables, fruits, vegetable oil, mealie rice, pilchards in tins, edible legumes and pulses of leguminous plants, eggs, milk, dried mealies, dairy powder blend, lentils, cultured milk, milk powde</w:t>
      </w:r>
      <w:r w:rsidR="007F5B40" w:rsidRPr="002965EC">
        <w:rPr>
          <w:rFonts w:ascii="Arial" w:hAnsi="Arial" w:cs="Arial"/>
          <w:szCs w:val="24"/>
        </w:rPr>
        <w:t>r and brown wheat.</w:t>
      </w:r>
    </w:p>
    <w:p w14:paraId="58F4B8AC" w14:textId="77777777" w:rsidR="006308AD" w:rsidRPr="002965EC" w:rsidRDefault="006308AD" w:rsidP="00F61FAB">
      <w:pPr>
        <w:pStyle w:val="Heading4"/>
        <w:rPr>
          <w:rFonts w:ascii="Arial" w:hAnsi="Arial" w:cs="Arial"/>
        </w:rPr>
      </w:pPr>
      <w:r w:rsidRPr="002965EC">
        <w:rPr>
          <w:rFonts w:ascii="Arial" w:hAnsi="Arial" w:cs="Arial"/>
        </w:rPr>
        <w:t>Inclusion into economic activities and opportunities</w:t>
      </w:r>
    </w:p>
    <w:p w14:paraId="3F5D7939" w14:textId="77777777" w:rsidR="006308AD" w:rsidRPr="002965EC" w:rsidRDefault="006308AD" w:rsidP="006308AD">
      <w:pPr>
        <w:rPr>
          <w:rFonts w:ascii="Arial" w:hAnsi="Arial" w:cs="Arial"/>
          <w:szCs w:val="24"/>
        </w:rPr>
      </w:pPr>
      <w:r w:rsidRPr="002965EC">
        <w:rPr>
          <w:rFonts w:ascii="Arial" w:hAnsi="Arial" w:cs="Arial"/>
          <w:szCs w:val="24"/>
        </w:rPr>
        <w:t xml:space="preserve">On the matter of women’s inclusion in the economy and in particular in </w:t>
      </w:r>
      <w:r w:rsidR="004F4E40" w:rsidRPr="002965EC">
        <w:rPr>
          <w:rFonts w:ascii="Arial" w:hAnsi="Arial" w:cs="Arial"/>
          <w:szCs w:val="24"/>
        </w:rPr>
        <w:t>small, medium and micro enterprises (</w:t>
      </w:r>
      <w:r w:rsidRPr="002965EC">
        <w:rPr>
          <w:rFonts w:ascii="Arial" w:hAnsi="Arial" w:cs="Arial"/>
          <w:szCs w:val="24"/>
        </w:rPr>
        <w:t>SMMEs</w:t>
      </w:r>
      <w:r w:rsidR="004F4E40" w:rsidRPr="002965EC">
        <w:rPr>
          <w:rFonts w:ascii="Arial" w:hAnsi="Arial" w:cs="Arial"/>
          <w:szCs w:val="24"/>
        </w:rPr>
        <w:t>)</w:t>
      </w:r>
      <w:r w:rsidRPr="002965EC">
        <w:rPr>
          <w:rFonts w:ascii="Arial" w:hAnsi="Arial" w:cs="Arial"/>
          <w:szCs w:val="24"/>
        </w:rPr>
        <w:t xml:space="preserve"> and the provision of funding/grants/incentive schemes remain largely in the hands of men. Over the past 25 years various measures and programmes were put into place to address the inequality between men and women in the economy or to </w:t>
      </w:r>
      <w:r w:rsidR="00F61FAB" w:rsidRPr="002965EC">
        <w:rPr>
          <w:rFonts w:ascii="Arial" w:hAnsi="Arial" w:cs="Arial"/>
          <w:szCs w:val="24"/>
        </w:rPr>
        <w:t xml:space="preserve">expand </w:t>
      </w:r>
      <w:r w:rsidRPr="002965EC">
        <w:rPr>
          <w:rFonts w:ascii="Arial" w:hAnsi="Arial" w:cs="Arial"/>
          <w:szCs w:val="24"/>
        </w:rPr>
        <w:t xml:space="preserve">economic opportunities and growth. </w:t>
      </w:r>
    </w:p>
    <w:p w14:paraId="00005847" w14:textId="77777777" w:rsidR="0064460C" w:rsidRPr="002965EC" w:rsidRDefault="0064460C" w:rsidP="006308AD">
      <w:pPr>
        <w:rPr>
          <w:rFonts w:ascii="Arial" w:hAnsi="Arial" w:cs="Arial"/>
          <w:szCs w:val="24"/>
        </w:rPr>
      </w:pPr>
    </w:p>
    <w:p w14:paraId="50FE2FA8" w14:textId="2B18B322" w:rsidR="00F61FAB" w:rsidRPr="007950C6" w:rsidRDefault="00F61FAB" w:rsidP="00F61FAB">
      <w:pPr>
        <w:pStyle w:val="Heading3"/>
        <w:rPr>
          <w:rFonts w:ascii="Arial" w:hAnsi="Arial" w:cs="Arial"/>
        </w:rPr>
      </w:pPr>
      <w:bookmarkStart w:id="9" w:name="_Toc2094117"/>
      <w:r w:rsidRPr="002965EC">
        <w:rPr>
          <w:rFonts w:ascii="Arial" w:hAnsi="Arial" w:cs="Arial"/>
        </w:rPr>
        <w:t xml:space="preserve">Social security </w:t>
      </w:r>
      <w:r w:rsidR="00214EE6" w:rsidRPr="002965EC">
        <w:rPr>
          <w:rFonts w:ascii="Arial" w:hAnsi="Arial" w:cs="Arial"/>
        </w:rPr>
        <w:t>legislation</w:t>
      </w:r>
      <w:bookmarkEnd w:id="9"/>
    </w:p>
    <w:p w14:paraId="427715AD" w14:textId="77777777" w:rsidR="006308AD" w:rsidRPr="002965EC" w:rsidRDefault="006308AD" w:rsidP="006308AD">
      <w:pPr>
        <w:rPr>
          <w:rFonts w:ascii="Arial" w:hAnsi="Arial" w:cs="Arial"/>
          <w:szCs w:val="24"/>
        </w:rPr>
      </w:pPr>
      <w:r w:rsidRPr="002965EC">
        <w:rPr>
          <w:rFonts w:ascii="Arial" w:hAnsi="Arial" w:cs="Arial"/>
          <w:szCs w:val="24"/>
        </w:rPr>
        <w:t xml:space="preserve">In South Africa poverty bears the face of an African woman. This has been the situation over the past 25 years where women bore the burden of structural and systemic poverty in the country. In 2018, the situation remains the same where poverty is depicted by the face of a Black African young woman. </w:t>
      </w:r>
    </w:p>
    <w:p w14:paraId="6D8758EC" w14:textId="77777777" w:rsidR="00A92240" w:rsidRPr="002965EC" w:rsidRDefault="00812750" w:rsidP="00812750">
      <w:pPr>
        <w:rPr>
          <w:rFonts w:ascii="Arial" w:hAnsi="Arial" w:cs="Arial"/>
        </w:rPr>
      </w:pPr>
      <w:r w:rsidRPr="002965EC">
        <w:rPr>
          <w:rFonts w:ascii="Arial" w:hAnsi="Arial" w:cs="Arial"/>
          <w:szCs w:val="24"/>
        </w:rPr>
        <w:t xml:space="preserve">South Africa is a signatory of several intervention conventions: International Convention on Economic, Social and Cultural Rights. </w:t>
      </w:r>
      <w:r w:rsidR="006308AD" w:rsidRPr="002965EC">
        <w:rPr>
          <w:rFonts w:ascii="Arial" w:hAnsi="Arial" w:cs="Arial"/>
          <w:szCs w:val="24"/>
        </w:rPr>
        <w:t xml:space="preserve">One of the socio-economic rights contained in the Bill of Rights is the right to social security (S 27(1)(c) of the Constitution). The state </w:t>
      </w:r>
      <w:r w:rsidR="006308AD" w:rsidRPr="002965EC">
        <w:rPr>
          <w:rFonts w:ascii="Arial" w:hAnsi="Arial" w:cs="Arial"/>
          <w:szCs w:val="24"/>
        </w:rPr>
        <w:lastRenderedPageBreak/>
        <w:t xml:space="preserve">is obliged under section 27(2) to ensure that this right is promoted and provided for. CEDAW, Articles 11(1)(e), 11(2)(b) and 14(2)(c) supports the right to social security as espoused in </w:t>
      </w:r>
      <w:r w:rsidR="00930A0C" w:rsidRPr="002965EC">
        <w:rPr>
          <w:rFonts w:ascii="Arial" w:hAnsi="Arial" w:cs="Arial"/>
          <w:szCs w:val="24"/>
        </w:rPr>
        <w:t>the</w:t>
      </w:r>
      <w:r w:rsidR="006308AD" w:rsidRPr="002965EC">
        <w:rPr>
          <w:rFonts w:ascii="Arial" w:hAnsi="Arial" w:cs="Arial"/>
          <w:szCs w:val="24"/>
        </w:rPr>
        <w:t xml:space="preserve"> Constitution. </w:t>
      </w:r>
      <w:r w:rsidR="00A92240" w:rsidRPr="002965EC">
        <w:rPr>
          <w:rFonts w:ascii="Arial" w:hAnsi="Arial" w:cs="Arial"/>
          <w:szCs w:val="24"/>
        </w:rPr>
        <w:t xml:space="preserve">The Social Assistance Act, 2004 regulates the administration and the payment of social grants. It </w:t>
      </w:r>
      <w:r w:rsidR="00930A0C" w:rsidRPr="002965EC">
        <w:rPr>
          <w:rFonts w:ascii="Arial" w:hAnsi="Arial" w:cs="Arial"/>
          <w:szCs w:val="24"/>
        </w:rPr>
        <w:t>describes</w:t>
      </w:r>
      <w:r w:rsidR="00A92240" w:rsidRPr="002965EC">
        <w:rPr>
          <w:rFonts w:ascii="Arial" w:hAnsi="Arial" w:cs="Arial"/>
          <w:szCs w:val="24"/>
        </w:rPr>
        <w:t xml:space="preserve"> who is eligible for grants and ensures that there are minimum standards for the delivery of social assistance. It also provides for the establishment of a body to monitor the quality of delivery: the Inspectorate for Social Assistance. According to the Act, the State must make money available for the following grants: a child support grant; a care dependency grant; a foster child grant; a disability grant; an older person’s grant; a war veteran’s grant; and a grant in aid. Chapter 2 (13) makes provision for the Minister of Social Development to provide social relief of distress to a person who qualifies for such relief as may be prescribed</w:t>
      </w:r>
    </w:p>
    <w:p w14:paraId="7C6B5615" w14:textId="77777777" w:rsidR="00A92240" w:rsidRPr="002965EC" w:rsidRDefault="006308AD" w:rsidP="006308AD">
      <w:pPr>
        <w:rPr>
          <w:rFonts w:ascii="Arial" w:hAnsi="Arial" w:cs="Arial"/>
          <w:szCs w:val="24"/>
        </w:rPr>
      </w:pPr>
      <w:r w:rsidRPr="002965EC">
        <w:rPr>
          <w:rFonts w:ascii="Arial" w:hAnsi="Arial" w:cs="Arial"/>
          <w:szCs w:val="24"/>
        </w:rPr>
        <w:t xml:space="preserve">The White Paper for Social Welfare </w:t>
      </w:r>
      <w:r w:rsidR="00812750" w:rsidRPr="002965EC">
        <w:rPr>
          <w:rFonts w:ascii="Arial" w:hAnsi="Arial" w:cs="Arial"/>
          <w:szCs w:val="24"/>
        </w:rPr>
        <w:t xml:space="preserve">1997 </w:t>
      </w:r>
      <w:r w:rsidRPr="002965EC">
        <w:rPr>
          <w:rFonts w:ascii="Arial" w:hAnsi="Arial" w:cs="Arial"/>
          <w:szCs w:val="24"/>
        </w:rPr>
        <w:t xml:space="preserve">defined widely the parameters for the provision of social security or a social floor/net. In 2018, given the ever-increasing rate of unemployment, especially for women and young women, provision of social security by the state is a very critical function in addressing women’s </w:t>
      </w:r>
      <w:r w:rsidR="00B92A26" w:rsidRPr="002965EC">
        <w:rPr>
          <w:rFonts w:ascii="Arial" w:hAnsi="Arial" w:cs="Arial"/>
          <w:szCs w:val="24"/>
        </w:rPr>
        <w:t>poverty. Social</w:t>
      </w:r>
      <w:r w:rsidRPr="002965EC">
        <w:rPr>
          <w:rFonts w:ascii="Arial" w:hAnsi="Arial" w:cs="Arial"/>
          <w:szCs w:val="24"/>
        </w:rPr>
        <w:t xml:space="preserve"> security takes the form of cash provisions such as social grants or in-kind benefits such as food parcels, seeds, </w:t>
      </w:r>
      <w:proofErr w:type="spellStart"/>
      <w:r w:rsidRPr="002965EC">
        <w:rPr>
          <w:rFonts w:ascii="Arial" w:hAnsi="Arial" w:cs="Arial"/>
          <w:szCs w:val="24"/>
        </w:rPr>
        <w:t>fertilisers</w:t>
      </w:r>
      <w:proofErr w:type="spellEnd"/>
      <w:r w:rsidRPr="002965EC">
        <w:rPr>
          <w:rFonts w:ascii="Arial" w:hAnsi="Arial" w:cs="Arial"/>
          <w:szCs w:val="24"/>
        </w:rPr>
        <w:t xml:space="preserve"> and implements for sustainable and household farming/gardening; provision of free sanitary pads to indigent women and children; free medical care in public health facilities for pregnant women and children up to 6 years; free condoms and other forms of family planning measures; free basic water and electricity to indigent households; free or No-Fee Schools for indigent children, etc.</w:t>
      </w:r>
    </w:p>
    <w:p w14:paraId="3CD269AD" w14:textId="77777777" w:rsidR="00C818BC" w:rsidRPr="002965EC" w:rsidRDefault="00C818BC" w:rsidP="000A41BC">
      <w:pPr>
        <w:rPr>
          <w:rFonts w:ascii="Arial" w:hAnsi="Arial" w:cs="Arial"/>
          <w:b/>
        </w:rPr>
      </w:pPr>
      <w:r w:rsidRPr="002965EC">
        <w:rPr>
          <w:rFonts w:ascii="Arial" w:hAnsi="Arial" w:cs="Arial"/>
          <w:b/>
        </w:rPr>
        <w:t xml:space="preserve">South African Social Security Agency Act, 2004 </w:t>
      </w:r>
    </w:p>
    <w:p w14:paraId="6F2CEA09" w14:textId="77777777" w:rsidR="00C818BC" w:rsidRPr="002965EC" w:rsidRDefault="00C818BC" w:rsidP="00C818BC">
      <w:pPr>
        <w:rPr>
          <w:rFonts w:ascii="Arial" w:hAnsi="Arial" w:cs="Arial"/>
          <w:color w:val="000000" w:themeColor="text1"/>
          <w:szCs w:val="24"/>
        </w:rPr>
      </w:pPr>
      <w:r w:rsidRPr="002965EC">
        <w:rPr>
          <w:rFonts w:ascii="Arial" w:hAnsi="Arial" w:cs="Arial"/>
          <w:color w:val="000000" w:themeColor="text1"/>
          <w:szCs w:val="24"/>
        </w:rPr>
        <w:t>The South African Social Security Agency Act of 2004 (Act No. 9 of 2004) makes provision for the establishment of the South African Social Security Agency (SASSA) to ‘ensure efficient and effective management, administration and payment of social assistance’. 4 as the agent to administration and payment of social assistance.  The Act outlined the functions and responsibilities of SASSA in administering the above-mentioned grants (Table xx) in South Africa.</w:t>
      </w:r>
    </w:p>
    <w:p w14:paraId="291B5375" w14:textId="77777777" w:rsidR="00C818BC" w:rsidRPr="002965EC" w:rsidRDefault="00C818BC" w:rsidP="000A41BC">
      <w:pPr>
        <w:rPr>
          <w:rFonts w:ascii="Arial" w:hAnsi="Arial" w:cs="Arial"/>
          <w:b/>
        </w:rPr>
      </w:pPr>
      <w:r w:rsidRPr="002965EC">
        <w:rPr>
          <w:rFonts w:ascii="Arial" w:hAnsi="Arial" w:cs="Arial"/>
          <w:b/>
        </w:rPr>
        <w:t xml:space="preserve">The South African Social Assistance 2004, as </w:t>
      </w:r>
      <w:r w:rsidR="002A36A3" w:rsidRPr="002965EC">
        <w:rPr>
          <w:rFonts w:ascii="Arial" w:hAnsi="Arial" w:cs="Arial"/>
          <w:b/>
        </w:rPr>
        <w:t>amended</w:t>
      </w:r>
    </w:p>
    <w:p w14:paraId="6A01F69C" w14:textId="0D4C6878" w:rsidR="00F13E5B" w:rsidRDefault="00C818BC" w:rsidP="00F13E5B">
      <w:pPr>
        <w:rPr>
          <w:rFonts w:ascii="Arial" w:hAnsi="Arial" w:cs="Arial"/>
          <w:color w:val="000000" w:themeColor="text1"/>
          <w:szCs w:val="24"/>
        </w:rPr>
      </w:pPr>
      <w:r w:rsidRPr="002965EC">
        <w:rPr>
          <w:rFonts w:ascii="Arial" w:hAnsi="Arial" w:cs="Arial"/>
          <w:color w:val="000000" w:themeColor="text1"/>
          <w:szCs w:val="24"/>
        </w:rPr>
        <w:t xml:space="preserve">The South Africa Constitution (Act No. 108 of 1996) enshrines the right of everyone in the country to have access to social security, including the right to social assistance, if they are unable to support themselves and their </w:t>
      </w:r>
      <w:r w:rsidR="002A36A3" w:rsidRPr="002965EC">
        <w:rPr>
          <w:rFonts w:ascii="Arial" w:hAnsi="Arial" w:cs="Arial"/>
          <w:color w:val="000000" w:themeColor="text1"/>
          <w:szCs w:val="24"/>
        </w:rPr>
        <w:t>dependents</w:t>
      </w:r>
      <w:r w:rsidRPr="002965EC">
        <w:rPr>
          <w:rFonts w:ascii="Arial" w:hAnsi="Arial" w:cs="Arial"/>
          <w:color w:val="000000" w:themeColor="text1"/>
          <w:szCs w:val="24"/>
        </w:rPr>
        <w:t xml:space="preserve">.  This right is enacted in the South African Social Assistance 2004 (Act No. 13 of 2004), which provides for the rendering of social assistance to eligible persons.  The Act and supporting regulations provide the legal framework for the administration of seven social grants in the country </w:t>
      </w:r>
      <w:r w:rsidRPr="002965EC">
        <w:rPr>
          <w:rFonts w:ascii="Arial" w:hAnsi="Arial" w:cs="Arial"/>
          <w:color w:val="000000" w:themeColor="text1"/>
          <w:szCs w:val="24"/>
        </w:rPr>
        <w:lastRenderedPageBreak/>
        <w:t xml:space="preserve">(Table </w:t>
      </w:r>
      <w:r w:rsidR="002A36A3" w:rsidRPr="002965EC">
        <w:rPr>
          <w:rFonts w:ascii="Arial" w:hAnsi="Arial" w:cs="Arial"/>
          <w:color w:val="000000" w:themeColor="text1"/>
          <w:szCs w:val="24"/>
        </w:rPr>
        <w:t>1</w:t>
      </w:r>
      <w:r w:rsidRPr="002965EC">
        <w:rPr>
          <w:rFonts w:ascii="Arial" w:hAnsi="Arial" w:cs="Arial"/>
          <w:color w:val="000000" w:themeColor="text1"/>
          <w:szCs w:val="24"/>
        </w:rPr>
        <w:t>).  A number of these grants provide a significant safety-net and social protection to women in the country (see Table below</w:t>
      </w:r>
      <w:r w:rsidR="00F13E5B">
        <w:rPr>
          <w:rFonts w:ascii="Arial" w:hAnsi="Arial" w:cs="Arial"/>
          <w:color w:val="000000" w:themeColor="text1"/>
          <w:szCs w:val="24"/>
        </w:rPr>
        <w:t>)</w:t>
      </w:r>
      <w:r w:rsidRPr="002965EC">
        <w:rPr>
          <w:rFonts w:ascii="Arial" w:hAnsi="Arial" w:cs="Arial"/>
          <w:color w:val="000000" w:themeColor="text1"/>
          <w:szCs w:val="24"/>
        </w:rPr>
        <w:t>.</w:t>
      </w:r>
    </w:p>
    <w:p w14:paraId="47507BF1" w14:textId="77777777" w:rsidR="00F85614" w:rsidRPr="00F85614" w:rsidRDefault="00F85614" w:rsidP="00F13E5B">
      <w:pPr>
        <w:rPr>
          <w:rFonts w:ascii="Arial" w:hAnsi="Arial" w:cs="Arial"/>
          <w:color w:val="000000" w:themeColor="text1"/>
          <w:szCs w:val="24"/>
        </w:rPr>
      </w:pPr>
    </w:p>
    <w:p w14:paraId="685E9E6E" w14:textId="77777777" w:rsidR="00C818BC" w:rsidRPr="002965EC" w:rsidRDefault="00C818BC" w:rsidP="00C818BC">
      <w:pPr>
        <w:pStyle w:val="Caption"/>
        <w:rPr>
          <w:rFonts w:ascii="Arial" w:hAnsi="Arial" w:cs="Arial"/>
          <w:i w:val="0"/>
          <w:iCs w:val="0"/>
          <w:color w:val="000000" w:themeColor="text1"/>
          <w:sz w:val="24"/>
          <w:szCs w:val="24"/>
          <w:lang w:val="en-US" w:eastAsia="en-US"/>
        </w:rPr>
      </w:pPr>
      <w:r w:rsidRPr="002965EC">
        <w:rPr>
          <w:rFonts w:ascii="Arial" w:hAnsi="Arial" w:cs="Arial"/>
          <w:i w:val="0"/>
          <w:iCs w:val="0"/>
          <w:color w:val="000000" w:themeColor="text1"/>
          <w:sz w:val="24"/>
          <w:szCs w:val="24"/>
          <w:lang w:val="en-US" w:eastAsia="en-US"/>
        </w:rPr>
        <w:t>Social grants available to qualifying individuals in South Africa</w:t>
      </w:r>
    </w:p>
    <w:tbl>
      <w:tblPr>
        <w:tblStyle w:val="GridTable4-Accent61"/>
        <w:tblW w:w="0" w:type="auto"/>
        <w:tblLook w:val="04A0" w:firstRow="1" w:lastRow="0" w:firstColumn="1" w:lastColumn="0" w:noHBand="0" w:noVBand="1"/>
      </w:tblPr>
      <w:tblGrid>
        <w:gridCol w:w="590"/>
        <w:gridCol w:w="1985"/>
        <w:gridCol w:w="6469"/>
      </w:tblGrid>
      <w:tr w:rsidR="00C818BC" w:rsidRPr="002965EC" w14:paraId="0A6DFCE0" w14:textId="77777777" w:rsidTr="009C3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0F0C10C" w14:textId="77777777" w:rsidR="00C818BC" w:rsidRPr="002965EC" w:rsidRDefault="00C818BC" w:rsidP="009C38AB">
            <w:pPr>
              <w:rPr>
                <w:rFonts w:ascii="Arial" w:eastAsiaTheme="minorEastAsia" w:hAnsi="Arial" w:cs="Arial"/>
                <w:b w:val="0"/>
                <w:bCs w:val="0"/>
                <w:color w:val="000000" w:themeColor="text1"/>
                <w:szCs w:val="24"/>
                <w:lang w:val="en-US"/>
              </w:rPr>
            </w:pPr>
            <w:r w:rsidRPr="002965EC">
              <w:rPr>
                <w:rFonts w:ascii="Arial" w:eastAsiaTheme="minorEastAsia" w:hAnsi="Arial" w:cs="Arial"/>
                <w:b w:val="0"/>
                <w:bCs w:val="0"/>
                <w:color w:val="000000" w:themeColor="text1"/>
                <w:szCs w:val="24"/>
                <w:lang w:val="en-US"/>
              </w:rPr>
              <w:t>No.</w:t>
            </w:r>
          </w:p>
        </w:tc>
        <w:tc>
          <w:tcPr>
            <w:tcW w:w="1985" w:type="dxa"/>
          </w:tcPr>
          <w:p w14:paraId="7F2AB017" w14:textId="77777777" w:rsidR="00C818BC" w:rsidRPr="002965EC" w:rsidRDefault="00C818BC" w:rsidP="009C38AB">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color w:val="000000" w:themeColor="text1"/>
                <w:szCs w:val="24"/>
                <w:lang w:val="en-US"/>
              </w:rPr>
            </w:pPr>
            <w:r w:rsidRPr="002965EC">
              <w:rPr>
                <w:rFonts w:ascii="Arial" w:eastAsiaTheme="minorEastAsia" w:hAnsi="Arial" w:cs="Arial"/>
                <w:b w:val="0"/>
                <w:bCs w:val="0"/>
                <w:color w:val="000000" w:themeColor="text1"/>
                <w:szCs w:val="24"/>
                <w:lang w:val="en-US"/>
              </w:rPr>
              <w:t>Name</w:t>
            </w:r>
          </w:p>
        </w:tc>
        <w:tc>
          <w:tcPr>
            <w:tcW w:w="6469" w:type="dxa"/>
          </w:tcPr>
          <w:p w14:paraId="23B24E2E" w14:textId="77777777" w:rsidR="00C818BC" w:rsidRPr="002965EC" w:rsidRDefault="00C818BC" w:rsidP="009C38AB">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color w:val="000000" w:themeColor="text1"/>
                <w:szCs w:val="24"/>
                <w:lang w:val="en-US"/>
              </w:rPr>
            </w:pPr>
            <w:r w:rsidRPr="002965EC">
              <w:rPr>
                <w:rFonts w:ascii="Arial" w:eastAsiaTheme="minorEastAsia" w:hAnsi="Arial" w:cs="Arial"/>
                <w:b w:val="0"/>
                <w:bCs w:val="0"/>
                <w:color w:val="000000" w:themeColor="text1"/>
                <w:szCs w:val="24"/>
                <w:lang w:val="en-US"/>
              </w:rPr>
              <w:t>Amount and description</w:t>
            </w:r>
          </w:p>
        </w:tc>
      </w:tr>
      <w:tr w:rsidR="00C818BC" w:rsidRPr="002965EC" w14:paraId="500DF835" w14:textId="77777777" w:rsidTr="009C3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88ADFC3" w14:textId="77777777" w:rsidR="00C818BC" w:rsidRPr="002965EC" w:rsidRDefault="00C818BC" w:rsidP="009C38AB">
            <w:pPr>
              <w:rPr>
                <w:rFonts w:ascii="Arial" w:eastAsiaTheme="minorEastAsia" w:hAnsi="Arial" w:cs="Arial"/>
                <w:b w:val="0"/>
                <w:bCs w:val="0"/>
                <w:color w:val="000000" w:themeColor="text1"/>
                <w:szCs w:val="24"/>
                <w:lang w:val="en-US"/>
              </w:rPr>
            </w:pPr>
            <w:r w:rsidRPr="002965EC">
              <w:rPr>
                <w:rFonts w:ascii="Arial" w:eastAsiaTheme="minorEastAsia" w:hAnsi="Arial" w:cs="Arial"/>
                <w:b w:val="0"/>
                <w:bCs w:val="0"/>
                <w:color w:val="000000" w:themeColor="text1"/>
                <w:szCs w:val="24"/>
                <w:lang w:val="en-US"/>
              </w:rPr>
              <w:t>1</w:t>
            </w:r>
          </w:p>
        </w:tc>
        <w:tc>
          <w:tcPr>
            <w:tcW w:w="1985" w:type="dxa"/>
          </w:tcPr>
          <w:p w14:paraId="42B71322" w14:textId="77777777" w:rsidR="00C818BC" w:rsidRPr="002965EC" w:rsidRDefault="00C818BC" w:rsidP="009C38AB">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Cs w:val="24"/>
                <w:lang w:val="en-US"/>
              </w:rPr>
            </w:pPr>
            <w:r w:rsidRPr="002965EC">
              <w:rPr>
                <w:rFonts w:ascii="Arial" w:eastAsiaTheme="minorEastAsia" w:hAnsi="Arial" w:cs="Arial"/>
                <w:color w:val="000000" w:themeColor="text1"/>
                <w:szCs w:val="24"/>
                <w:lang w:val="en-US"/>
              </w:rPr>
              <w:t>Child Support Grant</w:t>
            </w:r>
          </w:p>
        </w:tc>
        <w:tc>
          <w:tcPr>
            <w:tcW w:w="6469" w:type="dxa"/>
          </w:tcPr>
          <w:p w14:paraId="0465CA49" w14:textId="77777777" w:rsidR="00C818BC" w:rsidRPr="002965EC" w:rsidRDefault="00C818BC" w:rsidP="009C38AB">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Cs w:val="24"/>
                <w:lang w:val="en-US"/>
              </w:rPr>
            </w:pPr>
            <w:r w:rsidRPr="002965EC">
              <w:rPr>
                <w:rFonts w:ascii="Arial" w:eastAsiaTheme="minorEastAsia" w:hAnsi="Arial" w:cs="Arial"/>
                <w:color w:val="000000" w:themeColor="text1"/>
                <w:szCs w:val="24"/>
                <w:lang w:val="en-US"/>
              </w:rPr>
              <w:t xml:space="preserve">This grant will be R420 </w:t>
            </w:r>
            <w:r w:rsidR="00930A0C" w:rsidRPr="002965EC">
              <w:rPr>
                <w:rFonts w:ascii="Arial" w:eastAsiaTheme="minorEastAsia" w:hAnsi="Arial" w:cs="Arial"/>
                <w:color w:val="000000" w:themeColor="text1"/>
                <w:szCs w:val="24"/>
                <w:lang w:val="en-US"/>
              </w:rPr>
              <w:t xml:space="preserve">($29.50) </w:t>
            </w:r>
            <w:r w:rsidRPr="002965EC">
              <w:rPr>
                <w:rFonts w:ascii="Arial" w:eastAsiaTheme="minorEastAsia" w:hAnsi="Arial" w:cs="Arial"/>
                <w:color w:val="000000" w:themeColor="text1"/>
                <w:szCs w:val="24"/>
                <w:lang w:val="en-US"/>
              </w:rPr>
              <w:t xml:space="preserve">per month from April 2019, increasing to R430 </w:t>
            </w:r>
            <w:r w:rsidR="001C3676" w:rsidRPr="002965EC">
              <w:rPr>
                <w:rFonts w:ascii="Arial" w:eastAsiaTheme="minorEastAsia" w:hAnsi="Arial" w:cs="Arial"/>
                <w:color w:val="000000" w:themeColor="text1"/>
                <w:szCs w:val="24"/>
                <w:lang w:val="en-US"/>
              </w:rPr>
              <w:t xml:space="preserve">($30) </w:t>
            </w:r>
            <w:r w:rsidRPr="002965EC">
              <w:rPr>
                <w:rFonts w:ascii="Arial" w:eastAsiaTheme="minorEastAsia" w:hAnsi="Arial" w:cs="Arial"/>
                <w:color w:val="000000" w:themeColor="text1"/>
                <w:szCs w:val="24"/>
                <w:lang w:val="en-US"/>
              </w:rPr>
              <w:t>from 1 October 2019</w:t>
            </w:r>
            <w:r w:rsidR="001C3676" w:rsidRPr="002965EC">
              <w:rPr>
                <w:rFonts w:ascii="Arial" w:eastAsiaTheme="minorEastAsia" w:hAnsi="Arial" w:cs="Arial"/>
                <w:color w:val="000000" w:themeColor="text1"/>
                <w:szCs w:val="24"/>
                <w:lang w:val="en-US"/>
              </w:rPr>
              <w:t>, which translates to $1 a day</w:t>
            </w:r>
            <w:r w:rsidRPr="002965EC">
              <w:rPr>
                <w:rFonts w:ascii="Arial" w:eastAsiaTheme="minorEastAsia" w:hAnsi="Arial" w:cs="Arial"/>
                <w:color w:val="000000" w:themeColor="text1"/>
                <w:szCs w:val="24"/>
                <w:lang w:val="en-US"/>
              </w:rPr>
              <w:t xml:space="preserve">. To </w:t>
            </w:r>
            <w:r w:rsidR="001C3676" w:rsidRPr="002965EC">
              <w:rPr>
                <w:rFonts w:ascii="Arial" w:eastAsiaTheme="minorEastAsia" w:hAnsi="Arial" w:cs="Arial"/>
                <w:color w:val="000000" w:themeColor="text1"/>
                <w:szCs w:val="24"/>
                <w:lang w:val="en-US"/>
              </w:rPr>
              <w:t>receive the grant an individual</w:t>
            </w:r>
            <w:r w:rsidRPr="002965EC">
              <w:rPr>
                <w:rFonts w:ascii="Arial" w:eastAsiaTheme="minorEastAsia" w:hAnsi="Arial" w:cs="Arial"/>
                <w:color w:val="000000" w:themeColor="text1"/>
                <w:szCs w:val="24"/>
                <w:lang w:val="en-US"/>
              </w:rPr>
              <w:t xml:space="preserve"> must be the primary care giver of a child. </w:t>
            </w:r>
          </w:p>
        </w:tc>
      </w:tr>
      <w:tr w:rsidR="00C818BC" w:rsidRPr="002965EC" w14:paraId="03F600FD" w14:textId="77777777" w:rsidTr="009C38AB">
        <w:tc>
          <w:tcPr>
            <w:cnfStyle w:val="001000000000" w:firstRow="0" w:lastRow="0" w:firstColumn="1" w:lastColumn="0" w:oddVBand="0" w:evenVBand="0" w:oddHBand="0" w:evenHBand="0" w:firstRowFirstColumn="0" w:firstRowLastColumn="0" w:lastRowFirstColumn="0" w:lastRowLastColumn="0"/>
            <w:tcW w:w="562" w:type="dxa"/>
          </w:tcPr>
          <w:p w14:paraId="42F7F11B" w14:textId="77777777" w:rsidR="00C818BC" w:rsidRPr="002965EC" w:rsidRDefault="00C818BC" w:rsidP="009C38AB">
            <w:pPr>
              <w:rPr>
                <w:rFonts w:ascii="Arial" w:eastAsiaTheme="minorEastAsia" w:hAnsi="Arial" w:cs="Arial"/>
                <w:b w:val="0"/>
                <w:bCs w:val="0"/>
                <w:color w:val="000000" w:themeColor="text1"/>
                <w:szCs w:val="24"/>
                <w:lang w:val="en-US"/>
              </w:rPr>
            </w:pPr>
            <w:r w:rsidRPr="002965EC">
              <w:rPr>
                <w:rFonts w:ascii="Arial" w:eastAsiaTheme="minorEastAsia" w:hAnsi="Arial" w:cs="Arial"/>
                <w:b w:val="0"/>
                <w:bCs w:val="0"/>
                <w:color w:val="000000" w:themeColor="text1"/>
                <w:szCs w:val="24"/>
                <w:lang w:val="en-US"/>
              </w:rPr>
              <w:t>2</w:t>
            </w:r>
          </w:p>
        </w:tc>
        <w:tc>
          <w:tcPr>
            <w:tcW w:w="1985" w:type="dxa"/>
          </w:tcPr>
          <w:p w14:paraId="3CE96935" w14:textId="77777777" w:rsidR="00C818BC" w:rsidRPr="002965EC" w:rsidRDefault="00C818BC" w:rsidP="009C38AB">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Cs w:val="24"/>
                <w:lang w:val="en-US"/>
              </w:rPr>
            </w:pPr>
            <w:r w:rsidRPr="002965EC">
              <w:rPr>
                <w:rFonts w:ascii="Arial" w:eastAsiaTheme="minorEastAsia" w:hAnsi="Arial" w:cs="Arial"/>
                <w:color w:val="000000" w:themeColor="text1"/>
                <w:szCs w:val="24"/>
                <w:lang w:val="en-US"/>
              </w:rPr>
              <w:t>Care Dependency Grant</w:t>
            </w:r>
          </w:p>
        </w:tc>
        <w:tc>
          <w:tcPr>
            <w:tcW w:w="6469" w:type="dxa"/>
          </w:tcPr>
          <w:p w14:paraId="6175EC45" w14:textId="77777777" w:rsidR="00C818BC" w:rsidRPr="002965EC" w:rsidRDefault="00C818BC" w:rsidP="009C38AB">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Cs w:val="24"/>
                <w:lang w:val="en-US"/>
              </w:rPr>
            </w:pPr>
            <w:r w:rsidRPr="002965EC">
              <w:rPr>
                <w:rFonts w:ascii="Arial" w:eastAsiaTheme="minorEastAsia" w:hAnsi="Arial" w:cs="Arial"/>
                <w:color w:val="000000" w:themeColor="text1"/>
                <w:szCs w:val="24"/>
                <w:lang w:val="en-US"/>
              </w:rPr>
              <w:t xml:space="preserve">The value of this grant will be R1,780 </w:t>
            </w:r>
            <w:r w:rsidR="00E30C27" w:rsidRPr="002965EC">
              <w:rPr>
                <w:rFonts w:ascii="Arial" w:eastAsiaTheme="minorEastAsia" w:hAnsi="Arial" w:cs="Arial"/>
                <w:color w:val="000000" w:themeColor="text1"/>
                <w:szCs w:val="24"/>
                <w:lang w:val="en-US"/>
              </w:rPr>
              <w:t xml:space="preserve">($125) </w:t>
            </w:r>
            <w:r w:rsidRPr="002965EC">
              <w:rPr>
                <w:rFonts w:ascii="Arial" w:eastAsiaTheme="minorEastAsia" w:hAnsi="Arial" w:cs="Arial"/>
                <w:color w:val="000000" w:themeColor="text1"/>
                <w:szCs w:val="24"/>
                <w:lang w:val="en-US"/>
              </w:rPr>
              <w:t>per month from April. 2019, given to the caregivers of children with disabilities. </w:t>
            </w:r>
          </w:p>
        </w:tc>
      </w:tr>
      <w:tr w:rsidR="00C818BC" w:rsidRPr="002965EC" w14:paraId="0FCD8700" w14:textId="77777777" w:rsidTr="009C3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F90AF4C" w14:textId="77777777" w:rsidR="00C818BC" w:rsidRPr="002965EC" w:rsidRDefault="00C818BC" w:rsidP="009C38AB">
            <w:pPr>
              <w:rPr>
                <w:rFonts w:ascii="Arial" w:eastAsiaTheme="minorEastAsia" w:hAnsi="Arial" w:cs="Arial"/>
                <w:b w:val="0"/>
                <w:bCs w:val="0"/>
                <w:color w:val="000000" w:themeColor="text1"/>
                <w:szCs w:val="24"/>
                <w:lang w:val="en-US"/>
              </w:rPr>
            </w:pPr>
            <w:r w:rsidRPr="002965EC">
              <w:rPr>
                <w:rFonts w:ascii="Arial" w:eastAsiaTheme="minorEastAsia" w:hAnsi="Arial" w:cs="Arial"/>
                <w:b w:val="0"/>
                <w:bCs w:val="0"/>
                <w:color w:val="000000" w:themeColor="text1"/>
                <w:szCs w:val="24"/>
                <w:lang w:val="en-US"/>
              </w:rPr>
              <w:t>3</w:t>
            </w:r>
          </w:p>
        </w:tc>
        <w:tc>
          <w:tcPr>
            <w:tcW w:w="1985" w:type="dxa"/>
          </w:tcPr>
          <w:p w14:paraId="3CA1B1BA" w14:textId="77777777" w:rsidR="00C818BC" w:rsidRPr="002965EC" w:rsidRDefault="00C818BC" w:rsidP="009C38AB">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Cs w:val="24"/>
                <w:lang w:val="en-US"/>
              </w:rPr>
            </w:pPr>
            <w:r w:rsidRPr="002965EC">
              <w:rPr>
                <w:rFonts w:ascii="Arial" w:eastAsiaTheme="minorEastAsia" w:hAnsi="Arial" w:cs="Arial"/>
                <w:color w:val="000000" w:themeColor="text1"/>
                <w:szCs w:val="24"/>
                <w:lang w:val="en-US"/>
              </w:rPr>
              <w:t>Foster Child Grant</w:t>
            </w:r>
          </w:p>
        </w:tc>
        <w:tc>
          <w:tcPr>
            <w:tcW w:w="6469" w:type="dxa"/>
          </w:tcPr>
          <w:p w14:paraId="222C127A" w14:textId="77777777" w:rsidR="00C818BC" w:rsidRPr="002965EC" w:rsidRDefault="00C818BC" w:rsidP="009C38AB">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Cs w:val="24"/>
                <w:lang w:val="en-US"/>
              </w:rPr>
            </w:pPr>
            <w:r w:rsidRPr="002965EC">
              <w:rPr>
                <w:rFonts w:ascii="Arial" w:eastAsiaTheme="minorEastAsia" w:hAnsi="Arial" w:cs="Arial"/>
                <w:color w:val="000000" w:themeColor="text1"/>
                <w:szCs w:val="24"/>
                <w:lang w:val="en-US"/>
              </w:rPr>
              <w:t xml:space="preserve">Valued at R1,000 </w:t>
            </w:r>
            <w:r w:rsidR="00E30C27" w:rsidRPr="002965EC">
              <w:rPr>
                <w:rFonts w:ascii="Arial" w:eastAsiaTheme="minorEastAsia" w:hAnsi="Arial" w:cs="Arial"/>
                <w:color w:val="000000" w:themeColor="text1"/>
                <w:szCs w:val="24"/>
                <w:lang w:val="en-US"/>
              </w:rPr>
              <w:t xml:space="preserve">($70) </w:t>
            </w:r>
            <w:r w:rsidRPr="002965EC">
              <w:rPr>
                <w:rFonts w:ascii="Arial" w:eastAsiaTheme="minorEastAsia" w:hAnsi="Arial" w:cs="Arial"/>
                <w:color w:val="000000" w:themeColor="text1"/>
                <w:szCs w:val="24"/>
                <w:lang w:val="en-US"/>
              </w:rPr>
              <w:t>per month from April 2019, given to foster parents of a foster child that lives in South Africa. </w:t>
            </w:r>
          </w:p>
        </w:tc>
      </w:tr>
      <w:tr w:rsidR="00C818BC" w:rsidRPr="002965EC" w14:paraId="61811426" w14:textId="77777777" w:rsidTr="009C38AB">
        <w:tc>
          <w:tcPr>
            <w:cnfStyle w:val="001000000000" w:firstRow="0" w:lastRow="0" w:firstColumn="1" w:lastColumn="0" w:oddVBand="0" w:evenVBand="0" w:oddHBand="0" w:evenHBand="0" w:firstRowFirstColumn="0" w:firstRowLastColumn="0" w:lastRowFirstColumn="0" w:lastRowLastColumn="0"/>
            <w:tcW w:w="562" w:type="dxa"/>
          </w:tcPr>
          <w:p w14:paraId="5AC0B2B6" w14:textId="77777777" w:rsidR="00C818BC" w:rsidRPr="002965EC" w:rsidRDefault="00C818BC" w:rsidP="009C38AB">
            <w:pPr>
              <w:rPr>
                <w:rFonts w:ascii="Arial" w:eastAsiaTheme="minorEastAsia" w:hAnsi="Arial" w:cs="Arial"/>
                <w:b w:val="0"/>
                <w:bCs w:val="0"/>
                <w:color w:val="000000" w:themeColor="text1"/>
                <w:szCs w:val="24"/>
                <w:lang w:val="en-US"/>
              </w:rPr>
            </w:pPr>
            <w:r w:rsidRPr="002965EC">
              <w:rPr>
                <w:rFonts w:ascii="Arial" w:eastAsiaTheme="minorEastAsia" w:hAnsi="Arial" w:cs="Arial"/>
                <w:b w:val="0"/>
                <w:bCs w:val="0"/>
                <w:color w:val="000000" w:themeColor="text1"/>
                <w:szCs w:val="24"/>
                <w:lang w:val="en-US"/>
              </w:rPr>
              <w:t>4</w:t>
            </w:r>
          </w:p>
        </w:tc>
        <w:tc>
          <w:tcPr>
            <w:tcW w:w="1985" w:type="dxa"/>
          </w:tcPr>
          <w:p w14:paraId="2D94D44C" w14:textId="77777777" w:rsidR="00C818BC" w:rsidRPr="002965EC" w:rsidRDefault="00C818BC" w:rsidP="009C38AB">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Cs w:val="24"/>
                <w:lang w:val="en-US"/>
              </w:rPr>
            </w:pPr>
            <w:r w:rsidRPr="002965EC">
              <w:rPr>
                <w:rFonts w:ascii="Arial" w:eastAsiaTheme="minorEastAsia" w:hAnsi="Arial" w:cs="Arial"/>
                <w:color w:val="000000" w:themeColor="text1"/>
                <w:szCs w:val="24"/>
                <w:lang w:val="en-US"/>
              </w:rPr>
              <w:t>Disability Grant</w:t>
            </w:r>
          </w:p>
        </w:tc>
        <w:tc>
          <w:tcPr>
            <w:tcW w:w="6469" w:type="dxa"/>
          </w:tcPr>
          <w:p w14:paraId="41A13BD4" w14:textId="77777777" w:rsidR="00C818BC" w:rsidRPr="002965EC" w:rsidRDefault="00C818BC" w:rsidP="009C38AB">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Cs w:val="24"/>
                <w:lang w:val="en-US"/>
              </w:rPr>
            </w:pPr>
            <w:r w:rsidRPr="002965EC">
              <w:rPr>
                <w:rFonts w:ascii="Arial" w:eastAsiaTheme="minorEastAsia" w:hAnsi="Arial" w:cs="Arial"/>
                <w:color w:val="000000" w:themeColor="text1"/>
                <w:szCs w:val="24"/>
                <w:lang w:val="en-US"/>
              </w:rPr>
              <w:t>With a maximum value of R1,780</w:t>
            </w:r>
            <w:r w:rsidR="00E30C27" w:rsidRPr="002965EC">
              <w:rPr>
                <w:rFonts w:ascii="Arial" w:eastAsiaTheme="minorEastAsia" w:hAnsi="Arial" w:cs="Arial"/>
                <w:color w:val="000000" w:themeColor="text1"/>
                <w:szCs w:val="24"/>
                <w:lang w:val="en-US"/>
              </w:rPr>
              <w:t xml:space="preserve"> ($125)</w:t>
            </w:r>
            <w:r w:rsidRPr="002965EC">
              <w:rPr>
                <w:rFonts w:ascii="Arial" w:eastAsiaTheme="minorEastAsia" w:hAnsi="Arial" w:cs="Arial"/>
                <w:color w:val="000000" w:themeColor="text1"/>
                <w:szCs w:val="24"/>
                <w:lang w:val="en-US"/>
              </w:rPr>
              <w:t xml:space="preserve"> per month from April 2019, provided to persons with disabilities</w:t>
            </w:r>
          </w:p>
        </w:tc>
      </w:tr>
      <w:tr w:rsidR="00C818BC" w:rsidRPr="002965EC" w14:paraId="04EA667E" w14:textId="77777777" w:rsidTr="009C3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FEED15E" w14:textId="77777777" w:rsidR="00C818BC" w:rsidRPr="002965EC" w:rsidRDefault="00C818BC" w:rsidP="009C38AB">
            <w:pPr>
              <w:rPr>
                <w:rFonts w:ascii="Arial" w:eastAsiaTheme="minorEastAsia" w:hAnsi="Arial" w:cs="Arial"/>
                <w:b w:val="0"/>
                <w:bCs w:val="0"/>
                <w:color w:val="000000" w:themeColor="text1"/>
                <w:szCs w:val="24"/>
                <w:lang w:val="en-US"/>
              </w:rPr>
            </w:pPr>
            <w:r w:rsidRPr="002965EC">
              <w:rPr>
                <w:rFonts w:ascii="Arial" w:eastAsiaTheme="minorEastAsia" w:hAnsi="Arial" w:cs="Arial"/>
                <w:b w:val="0"/>
                <w:bCs w:val="0"/>
                <w:color w:val="000000" w:themeColor="text1"/>
                <w:szCs w:val="24"/>
                <w:lang w:val="en-US"/>
              </w:rPr>
              <w:t>5</w:t>
            </w:r>
          </w:p>
        </w:tc>
        <w:tc>
          <w:tcPr>
            <w:tcW w:w="1985" w:type="dxa"/>
          </w:tcPr>
          <w:p w14:paraId="77E2DBA3" w14:textId="77777777" w:rsidR="00C818BC" w:rsidRPr="002965EC" w:rsidRDefault="00C818BC" w:rsidP="009C38AB">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Cs w:val="24"/>
                <w:lang w:val="en-US"/>
              </w:rPr>
            </w:pPr>
            <w:r w:rsidRPr="002965EC">
              <w:rPr>
                <w:rFonts w:ascii="Arial" w:eastAsiaTheme="minorEastAsia" w:hAnsi="Arial" w:cs="Arial"/>
                <w:color w:val="000000" w:themeColor="text1"/>
                <w:szCs w:val="24"/>
                <w:lang w:val="en-US"/>
              </w:rPr>
              <w:t>Grant-in-Aid</w:t>
            </w:r>
          </w:p>
        </w:tc>
        <w:tc>
          <w:tcPr>
            <w:tcW w:w="6469" w:type="dxa"/>
          </w:tcPr>
          <w:p w14:paraId="5510E9E9" w14:textId="77777777" w:rsidR="00C818BC" w:rsidRPr="002965EC" w:rsidRDefault="00C818BC" w:rsidP="009C38AB">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Cs w:val="24"/>
                <w:lang w:val="en-US"/>
              </w:rPr>
            </w:pPr>
            <w:r w:rsidRPr="002965EC">
              <w:rPr>
                <w:rFonts w:ascii="Arial" w:eastAsiaTheme="minorEastAsia" w:hAnsi="Arial" w:cs="Arial"/>
                <w:color w:val="000000" w:themeColor="text1"/>
                <w:szCs w:val="24"/>
                <w:lang w:val="en-US"/>
              </w:rPr>
              <w:t xml:space="preserve">This is an additional R410 </w:t>
            </w:r>
            <w:r w:rsidR="00E30C27" w:rsidRPr="002965EC">
              <w:rPr>
                <w:rFonts w:ascii="Arial" w:eastAsiaTheme="minorEastAsia" w:hAnsi="Arial" w:cs="Arial"/>
                <w:color w:val="000000" w:themeColor="text1"/>
                <w:szCs w:val="24"/>
                <w:lang w:val="en-US"/>
              </w:rPr>
              <w:t xml:space="preserve">($29) </w:t>
            </w:r>
            <w:r w:rsidRPr="002965EC">
              <w:rPr>
                <w:rFonts w:ascii="Arial" w:eastAsiaTheme="minorEastAsia" w:hAnsi="Arial" w:cs="Arial"/>
                <w:color w:val="000000" w:themeColor="text1"/>
                <w:szCs w:val="24"/>
                <w:lang w:val="en-US"/>
              </w:rPr>
              <w:t>per month grant provided to a person who takes full-time care of someone living on a social grant but cannot take care of themselves.</w:t>
            </w:r>
          </w:p>
        </w:tc>
      </w:tr>
      <w:tr w:rsidR="00C818BC" w:rsidRPr="002965EC" w14:paraId="7883AA2B" w14:textId="77777777" w:rsidTr="009C38AB">
        <w:tc>
          <w:tcPr>
            <w:cnfStyle w:val="001000000000" w:firstRow="0" w:lastRow="0" w:firstColumn="1" w:lastColumn="0" w:oddVBand="0" w:evenVBand="0" w:oddHBand="0" w:evenHBand="0" w:firstRowFirstColumn="0" w:firstRowLastColumn="0" w:lastRowFirstColumn="0" w:lastRowLastColumn="0"/>
            <w:tcW w:w="562" w:type="dxa"/>
          </w:tcPr>
          <w:p w14:paraId="2F6A90E5" w14:textId="77777777" w:rsidR="00C818BC" w:rsidRPr="002965EC" w:rsidRDefault="00C818BC" w:rsidP="009C38AB">
            <w:pPr>
              <w:rPr>
                <w:rFonts w:ascii="Arial" w:eastAsiaTheme="minorEastAsia" w:hAnsi="Arial" w:cs="Arial"/>
                <w:b w:val="0"/>
                <w:bCs w:val="0"/>
                <w:color w:val="000000" w:themeColor="text1"/>
                <w:szCs w:val="24"/>
                <w:lang w:val="en-US"/>
              </w:rPr>
            </w:pPr>
            <w:r w:rsidRPr="002965EC">
              <w:rPr>
                <w:rFonts w:ascii="Arial" w:eastAsiaTheme="minorEastAsia" w:hAnsi="Arial" w:cs="Arial"/>
                <w:b w:val="0"/>
                <w:bCs w:val="0"/>
                <w:color w:val="000000" w:themeColor="text1"/>
                <w:szCs w:val="24"/>
                <w:lang w:val="en-US"/>
              </w:rPr>
              <w:t>6</w:t>
            </w:r>
          </w:p>
        </w:tc>
        <w:tc>
          <w:tcPr>
            <w:tcW w:w="1985" w:type="dxa"/>
          </w:tcPr>
          <w:p w14:paraId="26455F9C" w14:textId="77777777" w:rsidR="00C818BC" w:rsidRPr="002965EC" w:rsidRDefault="00C818BC" w:rsidP="009C38AB">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Cs w:val="24"/>
                <w:lang w:val="en-US"/>
              </w:rPr>
            </w:pPr>
            <w:r w:rsidRPr="002965EC">
              <w:rPr>
                <w:rFonts w:ascii="Arial" w:eastAsiaTheme="minorEastAsia" w:hAnsi="Arial" w:cs="Arial"/>
                <w:color w:val="000000" w:themeColor="text1"/>
                <w:szCs w:val="24"/>
                <w:lang w:val="en-US"/>
              </w:rPr>
              <w:t>Older Person’s Grant</w:t>
            </w:r>
          </w:p>
        </w:tc>
        <w:tc>
          <w:tcPr>
            <w:tcW w:w="6469" w:type="dxa"/>
          </w:tcPr>
          <w:p w14:paraId="4E71A2E9" w14:textId="77777777" w:rsidR="00C818BC" w:rsidRPr="002965EC" w:rsidRDefault="00C818BC" w:rsidP="009C38AB">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Cs w:val="24"/>
                <w:lang w:val="en-US"/>
              </w:rPr>
            </w:pPr>
            <w:r w:rsidRPr="002965EC">
              <w:rPr>
                <w:rFonts w:ascii="Arial" w:eastAsiaTheme="minorEastAsia" w:hAnsi="Arial" w:cs="Arial"/>
                <w:color w:val="000000" w:themeColor="text1"/>
                <w:szCs w:val="24"/>
                <w:lang w:val="en-US"/>
              </w:rPr>
              <w:t xml:space="preserve">A grant which will be R1,790 </w:t>
            </w:r>
            <w:r w:rsidR="00E30C27" w:rsidRPr="002965EC">
              <w:rPr>
                <w:rFonts w:ascii="Arial" w:eastAsiaTheme="minorEastAsia" w:hAnsi="Arial" w:cs="Arial"/>
                <w:color w:val="000000" w:themeColor="text1"/>
                <w:szCs w:val="24"/>
                <w:lang w:val="en-US"/>
              </w:rPr>
              <w:t xml:space="preserve">($126) </w:t>
            </w:r>
            <w:r w:rsidRPr="002965EC">
              <w:rPr>
                <w:rFonts w:ascii="Arial" w:eastAsiaTheme="minorEastAsia" w:hAnsi="Arial" w:cs="Arial"/>
                <w:color w:val="000000" w:themeColor="text1"/>
                <w:szCs w:val="24"/>
                <w:lang w:val="en-US"/>
              </w:rPr>
              <w:t>per month (from 1 April 2019), provided to individuals over 60 years of age that meet the requirements of the means test.</w:t>
            </w:r>
          </w:p>
        </w:tc>
      </w:tr>
      <w:tr w:rsidR="00C818BC" w:rsidRPr="002965EC" w14:paraId="5F136D72" w14:textId="77777777" w:rsidTr="009C3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E24388B" w14:textId="77777777" w:rsidR="00C818BC" w:rsidRPr="002965EC" w:rsidRDefault="00C818BC" w:rsidP="009C38AB">
            <w:pPr>
              <w:rPr>
                <w:rFonts w:ascii="Arial" w:eastAsiaTheme="minorEastAsia" w:hAnsi="Arial" w:cs="Arial"/>
                <w:b w:val="0"/>
                <w:bCs w:val="0"/>
                <w:color w:val="000000" w:themeColor="text1"/>
                <w:szCs w:val="24"/>
                <w:lang w:val="en-US"/>
              </w:rPr>
            </w:pPr>
            <w:r w:rsidRPr="002965EC">
              <w:rPr>
                <w:rFonts w:ascii="Arial" w:eastAsiaTheme="minorEastAsia" w:hAnsi="Arial" w:cs="Arial"/>
                <w:b w:val="0"/>
                <w:bCs w:val="0"/>
                <w:color w:val="000000" w:themeColor="text1"/>
                <w:szCs w:val="24"/>
                <w:lang w:val="en-US"/>
              </w:rPr>
              <w:t>7</w:t>
            </w:r>
          </w:p>
        </w:tc>
        <w:tc>
          <w:tcPr>
            <w:tcW w:w="1985" w:type="dxa"/>
          </w:tcPr>
          <w:p w14:paraId="7E9A0F53" w14:textId="77777777" w:rsidR="00C818BC" w:rsidRPr="002965EC" w:rsidRDefault="00C818BC" w:rsidP="009C38AB">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Cs w:val="24"/>
                <w:lang w:val="en-US"/>
              </w:rPr>
            </w:pPr>
            <w:r w:rsidRPr="002965EC">
              <w:rPr>
                <w:rFonts w:ascii="Arial" w:eastAsiaTheme="minorEastAsia" w:hAnsi="Arial" w:cs="Arial"/>
                <w:color w:val="000000" w:themeColor="text1"/>
                <w:szCs w:val="24"/>
                <w:lang w:val="en-US"/>
              </w:rPr>
              <w:t>Veteran’s Grant</w:t>
            </w:r>
          </w:p>
          <w:p w14:paraId="774AD378" w14:textId="77777777" w:rsidR="00C818BC" w:rsidRPr="002965EC" w:rsidRDefault="00C818BC" w:rsidP="009C38AB">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Cs w:val="24"/>
                <w:lang w:val="en-US"/>
              </w:rPr>
            </w:pPr>
          </w:p>
        </w:tc>
        <w:tc>
          <w:tcPr>
            <w:tcW w:w="6469" w:type="dxa"/>
          </w:tcPr>
          <w:p w14:paraId="0C9F873A" w14:textId="77777777" w:rsidR="00C818BC" w:rsidRPr="002965EC" w:rsidRDefault="00C818BC" w:rsidP="009C38AB">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Cs w:val="24"/>
                <w:lang w:val="en-US"/>
              </w:rPr>
            </w:pPr>
            <w:r w:rsidRPr="002965EC">
              <w:rPr>
                <w:rFonts w:ascii="Arial" w:eastAsiaTheme="minorEastAsia" w:hAnsi="Arial" w:cs="Arial"/>
                <w:color w:val="000000" w:themeColor="text1"/>
                <w:szCs w:val="24"/>
                <w:lang w:val="en-US"/>
              </w:rPr>
              <w:t xml:space="preserve">The value of the grant is R1,790 </w:t>
            </w:r>
            <w:r w:rsidR="00E30C27" w:rsidRPr="002965EC">
              <w:rPr>
                <w:rFonts w:ascii="Arial" w:eastAsiaTheme="minorEastAsia" w:hAnsi="Arial" w:cs="Arial"/>
                <w:color w:val="000000" w:themeColor="text1"/>
                <w:szCs w:val="24"/>
                <w:lang w:val="en-US"/>
              </w:rPr>
              <w:t xml:space="preserve">(126) </w:t>
            </w:r>
            <w:r w:rsidRPr="002965EC">
              <w:rPr>
                <w:rFonts w:ascii="Arial" w:eastAsiaTheme="minorEastAsia" w:hAnsi="Arial" w:cs="Arial"/>
                <w:color w:val="000000" w:themeColor="text1"/>
                <w:szCs w:val="24"/>
                <w:lang w:val="en-US"/>
              </w:rPr>
              <w:t>per month from April 2019, provided to individuals over 60 years or disabled that had fought in World War I, World War II or the Korean War.</w:t>
            </w:r>
          </w:p>
        </w:tc>
      </w:tr>
    </w:tbl>
    <w:p w14:paraId="4F816704" w14:textId="77777777" w:rsidR="007950C6" w:rsidRDefault="007950C6" w:rsidP="000A41BC">
      <w:pPr>
        <w:rPr>
          <w:rFonts w:ascii="Arial" w:hAnsi="Arial" w:cs="Arial"/>
          <w:b/>
        </w:rPr>
      </w:pPr>
    </w:p>
    <w:p w14:paraId="075AA328" w14:textId="77777777" w:rsidR="00C818BC" w:rsidRPr="002965EC" w:rsidRDefault="00C818BC" w:rsidP="000A41BC">
      <w:pPr>
        <w:rPr>
          <w:rFonts w:ascii="Arial" w:hAnsi="Arial" w:cs="Arial"/>
          <w:b/>
        </w:rPr>
      </w:pPr>
      <w:r w:rsidRPr="002965EC">
        <w:rPr>
          <w:rFonts w:ascii="Arial" w:hAnsi="Arial" w:cs="Arial"/>
          <w:b/>
        </w:rPr>
        <w:t>Children’s Act, 2005</w:t>
      </w:r>
    </w:p>
    <w:p w14:paraId="3B31E8DC" w14:textId="77777777" w:rsidR="00C818BC" w:rsidRPr="002965EC" w:rsidRDefault="00C818BC" w:rsidP="00C818BC">
      <w:pPr>
        <w:rPr>
          <w:rFonts w:ascii="Arial" w:hAnsi="Arial" w:cs="Arial"/>
          <w:color w:val="000000" w:themeColor="text1"/>
          <w:szCs w:val="24"/>
        </w:rPr>
      </w:pPr>
      <w:r w:rsidRPr="002965EC">
        <w:rPr>
          <w:rFonts w:ascii="Arial" w:hAnsi="Arial" w:cs="Arial"/>
          <w:color w:val="000000" w:themeColor="text1"/>
          <w:szCs w:val="24"/>
        </w:rPr>
        <w:t>The South Africa Children’s Act of 2005 (Act No. 38 of 2005), gives effect to the children’s rights set out in Section 28 of the South Africa Constitution.  The Act also outline the principles relating to the care and protection of children and defines parental responsibilities and rights.  The Act gives effect to South Africa’s commitment to the Protocol to Prevent, Suppress and Punish Trafficking in Persons, Especially Women and Children, Supplementing the United Nations Convention Against Transnational Organized Crime, G.A. res. 55/25, annex 11,55 U.N. GAOR Supp. (TWO. 49) at 60, U.N. Doc. A/45/49 (Vol. I) (2001).  The Act thus re-enforces the countries commitment to preventing and combatting trafficking in persons, paying particular attention to women and children.</w:t>
      </w:r>
    </w:p>
    <w:p w14:paraId="3259E0FE" w14:textId="77777777" w:rsidR="007950C6" w:rsidRDefault="007950C6" w:rsidP="000A41BC">
      <w:pPr>
        <w:rPr>
          <w:rFonts w:ascii="Arial" w:hAnsi="Arial" w:cs="Arial"/>
          <w:b/>
        </w:rPr>
      </w:pPr>
    </w:p>
    <w:p w14:paraId="04BF03A9" w14:textId="77777777" w:rsidR="00C818BC" w:rsidRPr="002965EC" w:rsidRDefault="00C818BC" w:rsidP="000A41BC">
      <w:pPr>
        <w:rPr>
          <w:rFonts w:ascii="Arial" w:hAnsi="Arial" w:cs="Arial"/>
          <w:b/>
        </w:rPr>
      </w:pPr>
      <w:r w:rsidRPr="002965EC">
        <w:rPr>
          <w:rFonts w:ascii="Arial" w:hAnsi="Arial" w:cs="Arial"/>
          <w:b/>
        </w:rPr>
        <w:lastRenderedPageBreak/>
        <w:t>Refugees Act 1998, as amended in 2008 and 2011</w:t>
      </w:r>
    </w:p>
    <w:p w14:paraId="2EFC25AA" w14:textId="77777777" w:rsidR="00ED288E" w:rsidRPr="00F13E5B" w:rsidRDefault="00C818BC" w:rsidP="000A41BC">
      <w:pPr>
        <w:rPr>
          <w:rFonts w:ascii="Arial" w:hAnsi="Arial" w:cs="Arial"/>
          <w:color w:val="000000" w:themeColor="text1"/>
          <w:szCs w:val="24"/>
        </w:rPr>
      </w:pPr>
      <w:r w:rsidRPr="002965EC">
        <w:rPr>
          <w:rFonts w:ascii="Arial" w:hAnsi="Arial" w:cs="Arial"/>
          <w:color w:val="000000" w:themeColor="text1"/>
          <w:szCs w:val="24"/>
        </w:rPr>
        <w:t xml:space="preserve">The Refugees Act of 1998 (Act No. 130 of 1998) give effect within the Republic of South Africa to the relevant international legal instruments, principles and standards relating to refugees and outlines provision for the reception into </w:t>
      </w:r>
      <w:r w:rsidR="00F13E5B">
        <w:rPr>
          <w:rFonts w:ascii="Arial" w:hAnsi="Arial" w:cs="Arial"/>
          <w:color w:val="000000" w:themeColor="text1"/>
          <w:szCs w:val="24"/>
        </w:rPr>
        <w:t>South Africa of asylum seekers.</w:t>
      </w:r>
    </w:p>
    <w:p w14:paraId="1A3DB83C" w14:textId="77777777" w:rsidR="00F13E5B" w:rsidRDefault="00F13E5B" w:rsidP="000A41BC">
      <w:pPr>
        <w:rPr>
          <w:rFonts w:ascii="Arial" w:hAnsi="Arial" w:cs="Arial"/>
          <w:b/>
        </w:rPr>
      </w:pPr>
    </w:p>
    <w:p w14:paraId="4CD1A898" w14:textId="77777777" w:rsidR="00C818BC" w:rsidRPr="002965EC" w:rsidRDefault="00C818BC" w:rsidP="000A41BC">
      <w:pPr>
        <w:rPr>
          <w:rFonts w:ascii="Arial" w:hAnsi="Arial" w:cs="Arial"/>
          <w:b/>
        </w:rPr>
      </w:pPr>
      <w:r w:rsidRPr="002965EC">
        <w:rPr>
          <w:rFonts w:ascii="Arial" w:hAnsi="Arial" w:cs="Arial"/>
          <w:b/>
        </w:rPr>
        <w:t>Older Person’s Act, 2006</w:t>
      </w:r>
    </w:p>
    <w:p w14:paraId="223D9E0C" w14:textId="77777777" w:rsidR="00C818BC" w:rsidRPr="002965EC" w:rsidRDefault="00C818BC" w:rsidP="00C818BC">
      <w:pPr>
        <w:rPr>
          <w:rFonts w:ascii="Arial" w:hAnsi="Arial" w:cs="Arial"/>
          <w:color w:val="000000" w:themeColor="text1"/>
          <w:szCs w:val="24"/>
        </w:rPr>
      </w:pPr>
      <w:r w:rsidRPr="002965EC">
        <w:rPr>
          <w:rFonts w:ascii="Arial" w:hAnsi="Arial" w:cs="Arial"/>
          <w:color w:val="000000" w:themeColor="text1"/>
          <w:szCs w:val="24"/>
        </w:rPr>
        <w:t>The Older Persons Act, 2006 (Act 13 of 2006) is intended to protect, promote and maintain the status, rights, well-being and security of older persons in the country.</w:t>
      </w:r>
    </w:p>
    <w:p w14:paraId="30E4E922" w14:textId="77777777" w:rsidR="00C818BC" w:rsidRPr="002965EC" w:rsidRDefault="00C818BC" w:rsidP="000A41BC">
      <w:pPr>
        <w:rPr>
          <w:rFonts w:ascii="Arial" w:hAnsi="Arial" w:cs="Arial"/>
          <w:b/>
        </w:rPr>
      </w:pPr>
      <w:r w:rsidRPr="002965EC">
        <w:rPr>
          <w:rFonts w:ascii="Arial" w:hAnsi="Arial" w:cs="Arial"/>
          <w:b/>
        </w:rPr>
        <w:t>The Maintenance Act, 1998</w:t>
      </w:r>
    </w:p>
    <w:p w14:paraId="58D08EB9" w14:textId="77777777" w:rsidR="00C818BC" w:rsidRPr="002965EC" w:rsidRDefault="00C818BC" w:rsidP="00C818BC">
      <w:pPr>
        <w:rPr>
          <w:rFonts w:ascii="Arial" w:hAnsi="Arial" w:cs="Arial"/>
          <w:color w:val="000000" w:themeColor="text1"/>
          <w:szCs w:val="24"/>
        </w:rPr>
      </w:pPr>
      <w:r w:rsidRPr="002965EC">
        <w:rPr>
          <w:rFonts w:ascii="Arial" w:hAnsi="Arial" w:cs="Arial"/>
          <w:color w:val="000000" w:themeColor="text1"/>
          <w:szCs w:val="24"/>
        </w:rPr>
        <w:t xml:space="preserve">This Act governs all the laws that relate to maintenance and </w:t>
      </w:r>
      <w:proofErr w:type="spellStart"/>
      <w:r w:rsidRPr="002965EC">
        <w:rPr>
          <w:rFonts w:ascii="Arial" w:hAnsi="Arial" w:cs="Arial"/>
          <w:color w:val="000000" w:themeColor="text1"/>
          <w:szCs w:val="24"/>
        </w:rPr>
        <w:t>honours</w:t>
      </w:r>
      <w:proofErr w:type="spellEnd"/>
      <w:r w:rsidRPr="002965EC">
        <w:rPr>
          <w:rFonts w:ascii="Arial" w:hAnsi="Arial" w:cs="Arial"/>
          <w:color w:val="000000" w:themeColor="text1"/>
          <w:szCs w:val="24"/>
        </w:rPr>
        <w:t xml:space="preserve"> the ruling that both parents have a legal duty to support their children. It governs all the legal procedures used by Maintenance Courts, officers and investigators to ensure a sensitive and fair approach to the payment of maintenance.</w:t>
      </w:r>
    </w:p>
    <w:p w14:paraId="54003316" w14:textId="77777777" w:rsidR="00C818BC" w:rsidRPr="002965EC" w:rsidRDefault="00C818BC" w:rsidP="000A41BC">
      <w:pPr>
        <w:rPr>
          <w:rFonts w:ascii="Arial" w:hAnsi="Arial" w:cs="Arial"/>
          <w:b/>
        </w:rPr>
      </w:pPr>
      <w:r w:rsidRPr="002965EC">
        <w:rPr>
          <w:rFonts w:ascii="Arial" w:hAnsi="Arial" w:cs="Arial"/>
          <w:b/>
        </w:rPr>
        <w:t>The Disaster Management Act, 2002</w:t>
      </w:r>
    </w:p>
    <w:p w14:paraId="26B4B1B4" w14:textId="77777777" w:rsidR="00C818BC" w:rsidRPr="002965EC" w:rsidRDefault="0064460C" w:rsidP="00C818BC">
      <w:pPr>
        <w:rPr>
          <w:rFonts w:ascii="Arial" w:hAnsi="Arial" w:cs="Arial"/>
          <w:color w:val="000000" w:themeColor="text1"/>
          <w:szCs w:val="24"/>
        </w:rPr>
      </w:pPr>
      <w:r w:rsidRPr="002965EC">
        <w:rPr>
          <w:rFonts w:ascii="Arial" w:hAnsi="Arial" w:cs="Arial"/>
          <w:color w:val="000000" w:themeColor="text1"/>
          <w:szCs w:val="24"/>
        </w:rPr>
        <w:t>This A</w:t>
      </w:r>
      <w:r w:rsidR="00C818BC" w:rsidRPr="002965EC">
        <w:rPr>
          <w:rFonts w:ascii="Arial" w:hAnsi="Arial" w:cs="Arial"/>
          <w:color w:val="000000" w:themeColor="text1"/>
          <w:szCs w:val="24"/>
        </w:rPr>
        <w:t xml:space="preserve">ct provides for an integrated and coordinated disaster management policy </w:t>
      </w:r>
      <w:r w:rsidRPr="002965EC">
        <w:rPr>
          <w:rFonts w:ascii="Arial" w:hAnsi="Arial" w:cs="Arial"/>
          <w:color w:val="000000" w:themeColor="text1"/>
          <w:szCs w:val="24"/>
        </w:rPr>
        <w:t>in South Africa.  The Act focus</w:t>
      </w:r>
      <w:r w:rsidR="00C818BC" w:rsidRPr="002965EC">
        <w:rPr>
          <w:rFonts w:ascii="Arial" w:hAnsi="Arial" w:cs="Arial"/>
          <w:color w:val="000000" w:themeColor="text1"/>
          <w:szCs w:val="24"/>
        </w:rPr>
        <w:t xml:space="preserve">es on measure for preventing and reducing the risk of disasters, means of mitigating the severity of disasters, ensuring emergency preparedness, facilitating rapid and effective response to disasters and supporting post-disaster recovery. It regulates the establishment of national, provincial and municipal disaster management </w:t>
      </w:r>
      <w:proofErr w:type="spellStart"/>
      <w:r w:rsidR="00C818BC" w:rsidRPr="002965EC">
        <w:rPr>
          <w:rFonts w:ascii="Arial" w:hAnsi="Arial" w:cs="Arial"/>
          <w:color w:val="000000" w:themeColor="text1"/>
          <w:szCs w:val="24"/>
        </w:rPr>
        <w:t>centres</w:t>
      </w:r>
      <w:proofErr w:type="spellEnd"/>
      <w:r w:rsidR="00C818BC" w:rsidRPr="002965EC">
        <w:rPr>
          <w:rFonts w:ascii="Arial" w:hAnsi="Arial" w:cs="Arial"/>
          <w:color w:val="000000" w:themeColor="text1"/>
          <w:szCs w:val="24"/>
        </w:rPr>
        <w:t>.</w:t>
      </w:r>
    </w:p>
    <w:p w14:paraId="7D1210A4" w14:textId="77777777" w:rsidR="000A41BC" w:rsidRPr="002965EC" w:rsidRDefault="00D93F39" w:rsidP="000A41BC">
      <w:pPr>
        <w:rPr>
          <w:rFonts w:ascii="Arial" w:hAnsi="Arial" w:cs="Arial"/>
          <w:b/>
          <w:shd w:val="clear" w:color="auto" w:fill="FFFF00"/>
        </w:rPr>
      </w:pPr>
      <w:r w:rsidRPr="002965EC">
        <w:rPr>
          <w:rFonts w:ascii="Arial" w:hAnsi="Arial" w:cs="Arial"/>
          <w:b/>
        </w:rPr>
        <w:t xml:space="preserve">The </w:t>
      </w:r>
      <w:r w:rsidR="000A41BC" w:rsidRPr="002965EC">
        <w:rPr>
          <w:rFonts w:ascii="Arial" w:hAnsi="Arial" w:cs="Arial"/>
          <w:b/>
        </w:rPr>
        <w:t>Government Employees Pension Law, 1996, as amended in 1998, 2003 and 2004</w:t>
      </w:r>
    </w:p>
    <w:p w14:paraId="39156402" w14:textId="77777777" w:rsidR="000A41BC" w:rsidRPr="002965EC" w:rsidRDefault="000A41BC" w:rsidP="000A41BC">
      <w:pPr>
        <w:rPr>
          <w:rFonts w:ascii="Arial" w:hAnsi="Arial" w:cs="Arial"/>
          <w:i/>
          <w:iCs/>
          <w:szCs w:val="24"/>
          <w:shd w:val="clear" w:color="auto" w:fill="FFFF00"/>
        </w:rPr>
      </w:pPr>
      <w:r w:rsidRPr="002965EC">
        <w:rPr>
          <w:rFonts w:ascii="Arial" w:hAnsi="Arial" w:cs="Arial"/>
        </w:rPr>
        <w:t xml:space="preserve">Government Employees Pension Law of 1996 </w:t>
      </w:r>
      <w:r w:rsidRPr="002965EC">
        <w:rPr>
          <w:rFonts w:ascii="Arial" w:hAnsi="Arial" w:cs="Arial"/>
          <w:shd w:val="clear" w:color="auto" w:fill="FFFFFF"/>
        </w:rPr>
        <w:t>(Act No. 21 of</w:t>
      </w:r>
      <w:r w:rsidRPr="002965EC">
        <w:rPr>
          <w:rFonts w:ascii="Arial" w:hAnsi="Arial" w:cs="Arial"/>
          <w:bCs/>
          <w:shd w:val="clear" w:color="auto" w:fill="FFFFFF"/>
        </w:rPr>
        <w:t>1996</w:t>
      </w:r>
      <w:r w:rsidRPr="002965EC">
        <w:rPr>
          <w:rFonts w:ascii="Arial" w:hAnsi="Arial" w:cs="Arial"/>
          <w:shd w:val="clear" w:color="auto" w:fill="FFFFFF"/>
        </w:rPr>
        <w:t>) is the legislative instrument governing the</w:t>
      </w:r>
      <w:r w:rsidRPr="002965EC">
        <w:rPr>
          <w:rFonts w:ascii="Arial" w:hAnsi="Arial" w:cs="Arial"/>
        </w:rPr>
        <w:t xml:space="preserve"> provision of payment of pensions and certain other benefits to persons in the employment of the Government, certain bodies and institutions, and to the </w:t>
      </w:r>
      <w:r w:rsidR="00B92A26" w:rsidRPr="002965EC">
        <w:rPr>
          <w:rFonts w:ascii="Arial" w:hAnsi="Arial" w:cs="Arial"/>
        </w:rPr>
        <w:t>dependents</w:t>
      </w:r>
      <w:r w:rsidRPr="002965EC">
        <w:rPr>
          <w:rFonts w:ascii="Arial" w:hAnsi="Arial" w:cs="Arial"/>
        </w:rPr>
        <w:t xml:space="preserve"> or nominees of such persons. </w:t>
      </w:r>
      <w:r w:rsidRPr="002965EC">
        <w:rPr>
          <w:rFonts w:ascii="Arial" w:hAnsi="Arial" w:cs="Arial"/>
          <w:bCs/>
          <w:shd w:val="clear" w:color="auto" w:fill="FFFFFF"/>
        </w:rPr>
        <w:t>The Government Employees Pension</w:t>
      </w:r>
      <w:r w:rsidRPr="002965EC">
        <w:rPr>
          <w:rFonts w:ascii="Arial" w:hAnsi="Arial" w:cs="Arial"/>
          <w:shd w:val="clear" w:color="auto" w:fill="FFFFFF"/>
        </w:rPr>
        <w:t> Fund (''the GEPF'') is thus established in terms of </w:t>
      </w:r>
      <w:r w:rsidRPr="002965EC">
        <w:rPr>
          <w:rFonts w:ascii="Arial" w:hAnsi="Arial" w:cs="Arial"/>
          <w:bCs/>
          <w:shd w:val="clear" w:color="auto" w:fill="FFFFFF"/>
        </w:rPr>
        <w:t>the Government Employees Pension Law</w:t>
      </w:r>
      <w:r w:rsidRPr="002965EC">
        <w:rPr>
          <w:rFonts w:ascii="Arial" w:hAnsi="Arial" w:cs="Arial"/>
          <w:shd w:val="clear" w:color="auto" w:fill="FFFFFF"/>
        </w:rPr>
        <w:t>, </w:t>
      </w:r>
      <w:r w:rsidRPr="002965EC">
        <w:rPr>
          <w:rFonts w:ascii="Arial" w:hAnsi="Arial" w:cs="Arial"/>
          <w:bCs/>
          <w:shd w:val="clear" w:color="auto" w:fill="FFFFFF"/>
        </w:rPr>
        <w:t>1996</w:t>
      </w:r>
      <w:proofErr w:type="gramStart"/>
      <w:r w:rsidRPr="002965EC">
        <w:rPr>
          <w:rFonts w:ascii="Arial" w:hAnsi="Arial" w:cs="Arial"/>
          <w:shd w:val="clear" w:color="auto" w:fill="FFFFFF"/>
        </w:rPr>
        <w:t>  (</w:t>
      </w:r>
      <w:proofErr w:type="gramEnd"/>
      <w:r w:rsidRPr="002965EC">
        <w:rPr>
          <w:rFonts w:ascii="Arial" w:hAnsi="Arial" w:cs="Arial"/>
          <w:shd w:val="clear" w:color="auto" w:fill="FFFFFF"/>
        </w:rPr>
        <w:t xml:space="preserve">''the GEPL''). </w:t>
      </w:r>
    </w:p>
    <w:p w14:paraId="04AA6118" w14:textId="77777777" w:rsidR="000A41BC" w:rsidRPr="002965EC" w:rsidRDefault="00D93F39" w:rsidP="001234F4">
      <w:pPr>
        <w:rPr>
          <w:rFonts w:ascii="Arial" w:hAnsi="Arial" w:cs="Arial"/>
          <w:b/>
          <w:shd w:val="clear" w:color="auto" w:fill="FFFF00"/>
        </w:rPr>
      </w:pPr>
      <w:r w:rsidRPr="002965EC">
        <w:rPr>
          <w:rFonts w:ascii="Arial" w:hAnsi="Arial" w:cs="Arial"/>
          <w:b/>
        </w:rPr>
        <w:t xml:space="preserve">Pensions Fund </w:t>
      </w:r>
      <w:r w:rsidR="001234F4" w:rsidRPr="002965EC">
        <w:rPr>
          <w:rFonts w:ascii="Arial" w:hAnsi="Arial" w:cs="Arial"/>
          <w:b/>
        </w:rPr>
        <w:t xml:space="preserve">Amendment </w:t>
      </w:r>
      <w:r w:rsidRPr="002965EC">
        <w:rPr>
          <w:rFonts w:ascii="Arial" w:hAnsi="Arial" w:cs="Arial"/>
          <w:b/>
        </w:rPr>
        <w:t>Act</w:t>
      </w:r>
      <w:r w:rsidR="001234F4" w:rsidRPr="002965EC">
        <w:rPr>
          <w:rFonts w:ascii="Arial" w:hAnsi="Arial" w:cs="Arial"/>
          <w:b/>
        </w:rPr>
        <w:t>,</w:t>
      </w:r>
      <w:r w:rsidRPr="002965EC">
        <w:rPr>
          <w:rFonts w:ascii="Arial" w:hAnsi="Arial" w:cs="Arial"/>
          <w:b/>
        </w:rPr>
        <w:t xml:space="preserve"> 1996</w:t>
      </w:r>
      <w:r w:rsidR="001234F4" w:rsidRPr="002965EC">
        <w:rPr>
          <w:rFonts w:ascii="Arial" w:hAnsi="Arial" w:cs="Arial"/>
          <w:b/>
        </w:rPr>
        <w:t xml:space="preserve">, as amended </w:t>
      </w:r>
    </w:p>
    <w:p w14:paraId="175B8A52" w14:textId="77777777" w:rsidR="001234F4" w:rsidRPr="002965EC" w:rsidRDefault="001234F4" w:rsidP="001234F4">
      <w:pPr>
        <w:rPr>
          <w:rFonts w:ascii="Arial" w:hAnsi="Arial" w:cs="Arial"/>
        </w:rPr>
      </w:pPr>
      <w:r w:rsidRPr="002965EC">
        <w:rPr>
          <w:rFonts w:ascii="Arial" w:hAnsi="Arial" w:cs="Arial"/>
        </w:rPr>
        <w:t xml:space="preserve">The Pension Funds Amendment Act, 1996 (Act No. 22 of 1996) provides amendments to the Pension Funds Act, 1956.  The purpose of the 1956 Act, </w:t>
      </w:r>
      <w:r w:rsidR="00BA0897" w:rsidRPr="002965EC">
        <w:rPr>
          <w:rFonts w:ascii="Arial" w:hAnsi="Arial" w:cs="Arial"/>
        </w:rPr>
        <w:t>with</w:t>
      </w:r>
      <w:r w:rsidRPr="002965EC">
        <w:rPr>
          <w:rFonts w:ascii="Arial" w:hAnsi="Arial" w:cs="Arial"/>
        </w:rPr>
        <w:t xml:space="preserve"> amendments</w:t>
      </w:r>
      <w:r w:rsidR="00BA0897" w:rsidRPr="002965EC">
        <w:rPr>
          <w:rFonts w:ascii="Arial" w:hAnsi="Arial" w:cs="Arial"/>
        </w:rPr>
        <w:t>,</w:t>
      </w:r>
      <w:r w:rsidRPr="002965EC">
        <w:rPr>
          <w:rFonts w:ascii="Arial" w:hAnsi="Arial" w:cs="Arial"/>
        </w:rPr>
        <w:t xml:space="preserve"> is to provide for the registration, incorporation, regulation and dissolution of pension funds </w:t>
      </w:r>
      <w:r w:rsidR="00BA0897" w:rsidRPr="002965EC">
        <w:rPr>
          <w:rFonts w:ascii="Arial" w:hAnsi="Arial" w:cs="Arial"/>
        </w:rPr>
        <w:t>in South Africa</w:t>
      </w:r>
      <w:r w:rsidRPr="002965EC">
        <w:rPr>
          <w:rFonts w:ascii="Arial" w:hAnsi="Arial" w:cs="Arial"/>
        </w:rPr>
        <w:t>.</w:t>
      </w:r>
    </w:p>
    <w:p w14:paraId="2DD632E6" w14:textId="77777777" w:rsidR="00BA0897" w:rsidRPr="002965EC" w:rsidRDefault="00BA0897" w:rsidP="00BA0897">
      <w:pPr>
        <w:rPr>
          <w:rFonts w:ascii="Arial" w:eastAsia="Times New Roman" w:hAnsi="Arial" w:cs="Arial"/>
          <w:b/>
          <w:lang w:val="en-ZA" w:eastAsia="en-ZA"/>
        </w:rPr>
      </w:pPr>
      <w:r w:rsidRPr="002965EC">
        <w:rPr>
          <w:rFonts w:ascii="Arial" w:eastAsia="Times New Roman" w:hAnsi="Arial" w:cs="Arial"/>
          <w:b/>
          <w:lang w:val="en-ZA" w:eastAsia="en-ZA"/>
        </w:rPr>
        <w:lastRenderedPageBreak/>
        <w:t xml:space="preserve">Road Accident Fund Amendment Act, 2005 </w:t>
      </w:r>
    </w:p>
    <w:p w14:paraId="0D6B637F" w14:textId="77777777" w:rsidR="0064460C" w:rsidRPr="002965EC" w:rsidRDefault="00BA0897" w:rsidP="00F621B6">
      <w:pPr>
        <w:rPr>
          <w:rFonts w:ascii="Arial" w:hAnsi="Arial" w:cs="Arial"/>
          <w:lang w:val="en-ZA" w:eastAsia="en-ZA"/>
        </w:rPr>
      </w:pPr>
      <w:r w:rsidRPr="002965EC">
        <w:rPr>
          <w:rFonts w:ascii="Arial" w:eastAsia="Times New Roman" w:hAnsi="Arial" w:cs="Arial"/>
          <w:lang w:val="en-ZA" w:eastAsia="en-ZA"/>
        </w:rPr>
        <w:t xml:space="preserve">The Road Accident Fund Amendment Act, 2005 came into operation on the 1 August 2008 with the objective to </w:t>
      </w:r>
      <w:r w:rsidR="00F621B6" w:rsidRPr="002965EC">
        <w:rPr>
          <w:rFonts w:ascii="Arial" w:eastAsia="Times New Roman" w:hAnsi="Arial" w:cs="Arial"/>
          <w:lang w:val="en-ZA" w:eastAsia="en-ZA"/>
        </w:rPr>
        <w:t>regulate</w:t>
      </w:r>
      <w:r w:rsidRPr="002965EC">
        <w:rPr>
          <w:rFonts w:ascii="Arial" w:eastAsia="Times New Roman" w:hAnsi="Arial" w:cs="Arial"/>
          <w:lang w:val="en-ZA" w:eastAsia="en-ZA"/>
        </w:rPr>
        <w:t xml:space="preserve"> the paying of compensation, in accordance with applicable legislations, for personal loss or damage wrongfully caused by the driving of a motor vehicle in South Africa. The Act makes provision for the </w:t>
      </w:r>
      <w:r w:rsidRPr="002965EC">
        <w:rPr>
          <w:rFonts w:ascii="Arial" w:hAnsi="Arial" w:cs="Arial"/>
        </w:rPr>
        <w:t>establishment of a</w:t>
      </w:r>
      <w:r w:rsidRPr="002965EC">
        <w:rPr>
          <w:rFonts w:ascii="Arial" w:hAnsi="Arial" w:cs="Arial"/>
          <w:lang w:val="en-ZA" w:eastAsia="en-ZA"/>
        </w:rPr>
        <w:t xml:space="preserve"> RAF: Road Accident Fund for this purpose.</w:t>
      </w:r>
      <w:r w:rsidR="00F13E5B">
        <w:rPr>
          <w:rFonts w:ascii="Arial" w:hAnsi="Arial" w:cs="Arial"/>
          <w:lang w:val="en-ZA" w:eastAsia="en-ZA"/>
        </w:rPr>
        <w:t xml:space="preserve">  </w:t>
      </w:r>
    </w:p>
    <w:p w14:paraId="6BD4AC9E" w14:textId="77777777" w:rsidR="0064460C" w:rsidRPr="002965EC" w:rsidRDefault="0064460C" w:rsidP="00F621B6">
      <w:pPr>
        <w:rPr>
          <w:rFonts w:ascii="Arial" w:eastAsia="Times New Roman" w:hAnsi="Arial" w:cs="Arial"/>
          <w:color w:val="333333"/>
          <w:sz w:val="21"/>
          <w:szCs w:val="21"/>
          <w:lang w:val="en-ZA" w:eastAsia="en-ZA"/>
        </w:rPr>
      </w:pPr>
    </w:p>
    <w:p w14:paraId="58EF0D0D" w14:textId="77777777" w:rsidR="006308AD" w:rsidRPr="002965EC" w:rsidRDefault="006308AD" w:rsidP="00827862">
      <w:pPr>
        <w:pStyle w:val="Heading3"/>
        <w:rPr>
          <w:rFonts w:ascii="Arial" w:hAnsi="Arial" w:cs="Arial"/>
        </w:rPr>
      </w:pPr>
      <w:bookmarkStart w:id="10" w:name="_Toc1372248"/>
      <w:bookmarkStart w:id="11" w:name="_Toc2094118"/>
      <w:r w:rsidRPr="002965EC">
        <w:rPr>
          <w:rStyle w:val="Heading4Char"/>
          <w:rFonts w:ascii="Arial" w:hAnsi="Arial" w:cs="Arial"/>
          <w:i w:val="0"/>
          <w:iCs w:val="0"/>
        </w:rPr>
        <w:t>Health</w:t>
      </w:r>
      <w:bookmarkEnd w:id="10"/>
      <w:bookmarkEnd w:id="11"/>
      <w:r w:rsidR="00F621B6" w:rsidRPr="002965EC">
        <w:rPr>
          <w:rStyle w:val="Heading4Char"/>
          <w:rFonts w:ascii="Arial" w:hAnsi="Arial" w:cs="Arial"/>
          <w:i w:val="0"/>
          <w:iCs w:val="0"/>
        </w:rPr>
        <w:t xml:space="preserve"> </w:t>
      </w:r>
    </w:p>
    <w:p w14:paraId="65D49C0A" w14:textId="77777777" w:rsidR="00565390" w:rsidRPr="002965EC" w:rsidRDefault="00F621B6" w:rsidP="00F621B6">
      <w:pPr>
        <w:rPr>
          <w:rFonts w:ascii="Arial" w:hAnsi="Arial" w:cs="Arial"/>
          <w:b/>
        </w:rPr>
      </w:pPr>
      <w:r w:rsidRPr="002965EC">
        <w:rPr>
          <w:rFonts w:ascii="Arial" w:hAnsi="Arial" w:cs="Arial"/>
          <w:b/>
        </w:rPr>
        <w:t>Me</w:t>
      </w:r>
      <w:r w:rsidR="00565390" w:rsidRPr="002965EC">
        <w:rPr>
          <w:rFonts w:ascii="Arial" w:hAnsi="Arial" w:cs="Arial"/>
          <w:b/>
        </w:rPr>
        <w:t>dical Schemes Act 1998,</w:t>
      </w:r>
      <w:r w:rsidRPr="002965EC">
        <w:rPr>
          <w:rFonts w:ascii="Arial" w:hAnsi="Arial" w:cs="Arial"/>
          <w:b/>
        </w:rPr>
        <w:t xml:space="preserve"> as amended</w:t>
      </w:r>
    </w:p>
    <w:p w14:paraId="28731030" w14:textId="77777777" w:rsidR="00F621B6" w:rsidRPr="002965EC" w:rsidRDefault="00F621B6" w:rsidP="00F621B6">
      <w:pPr>
        <w:rPr>
          <w:rFonts w:ascii="Arial" w:hAnsi="Arial" w:cs="Arial"/>
          <w:b/>
          <w:shd w:val="clear" w:color="auto" w:fill="FFFF00"/>
        </w:rPr>
      </w:pPr>
      <w:r w:rsidRPr="002965EC">
        <w:rPr>
          <w:rFonts w:ascii="Arial" w:hAnsi="Arial" w:cs="Arial"/>
        </w:rPr>
        <w:t>Medical Schemes Act of 1998 (Act No. 131 of 1998)</w:t>
      </w:r>
      <w:r w:rsidR="00096462" w:rsidRPr="002965EC">
        <w:rPr>
          <w:rFonts w:ascii="Arial" w:hAnsi="Arial" w:cs="Arial"/>
        </w:rPr>
        <w:t xml:space="preserve"> consolidates the laws relating to registered medical schemes and makes provision for the government structure and processes for these schemes in the country.  The Act also provides legislative means to protect the interests of members of medical schemes.</w:t>
      </w:r>
    </w:p>
    <w:p w14:paraId="6140D222" w14:textId="77777777" w:rsidR="00245F0D" w:rsidRPr="002965EC" w:rsidRDefault="007761F8" w:rsidP="007761F8">
      <w:pPr>
        <w:rPr>
          <w:rFonts w:ascii="Arial" w:hAnsi="Arial" w:cs="Arial"/>
          <w:b/>
          <w:shd w:val="clear" w:color="auto" w:fill="FFFF00"/>
        </w:rPr>
      </w:pPr>
      <w:r w:rsidRPr="002965EC">
        <w:rPr>
          <w:rFonts w:ascii="Arial" w:hAnsi="Arial" w:cs="Arial"/>
          <w:b/>
        </w:rPr>
        <w:t>National Health Insurance White Paper, 2018</w:t>
      </w:r>
    </w:p>
    <w:p w14:paraId="0ECA543F" w14:textId="77777777" w:rsidR="007761F8" w:rsidRPr="002965EC" w:rsidRDefault="007761F8" w:rsidP="007761F8">
      <w:pPr>
        <w:rPr>
          <w:rFonts w:ascii="Arial" w:hAnsi="Arial" w:cs="Arial"/>
        </w:rPr>
      </w:pPr>
      <w:r w:rsidRPr="002965EC">
        <w:rPr>
          <w:rFonts w:ascii="Arial" w:hAnsi="Arial" w:cs="Arial"/>
        </w:rPr>
        <w:t xml:space="preserve">This White Paper </w:t>
      </w:r>
      <w:r w:rsidR="006A474B" w:rsidRPr="002965EC">
        <w:rPr>
          <w:rFonts w:ascii="Arial" w:hAnsi="Arial" w:cs="Arial"/>
        </w:rPr>
        <w:t xml:space="preserve">on National Health Insurance of 2018 </w:t>
      </w:r>
      <w:r w:rsidRPr="002965EC">
        <w:rPr>
          <w:rFonts w:ascii="Arial" w:hAnsi="Arial" w:cs="Arial"/>
        </w:rPr>
        <w:t xml:space="preserve">lays the foundation for moving South Africa towards universal health coverage (UHC) through the implementation of </w:t>
      </w:r>
      <w:r w:rsidR="006A474B" w:rsidRPr="002965EC">
        <w:rPr>
          <w:rFonts w:ascii="Arial" w:hAnsi="Arial" w:cs="Arial"/>
        </w:rPr>
        <w:t xml:space="preserve">a universal </w:t>
      </w:r>
      <w:r w:rsidRPr="002965EC">
        <w:rPr>
          <w:rFonts w:ascii="Arial" w:hAnsi="Arial" w:cs="Arial"/>
        </w:rPr>
        <w:t>National Health Insurance (NHI)</w:t>
      </w:r>
      <w:r w:rsidR="006A474B" w:rsidRPr="002965EC">
        <w:rPr>
          <w:rFonts w:ascii="Arial" w:hAnsi="Arial" w:cs="Arial"/>
        </w:rPr>
        <w:t xml:space="preserve">.  The establishment of the NHI is expected to </w:t>
      </w:r>
      <w:r w:rsidRPr="002965EC">
        <w:rPr>
          <w:rFonts w:ascii="Arial" w:hAnsi="Arial" w:cs="Arial"/>
        </w:rPr>
        <w:t>unified health system</w:t>
      </w:r>
      <w:r w:rsidR="006A474B" w:rsidRPr="002965EC">
        <w:rPr>
          <w:rFonts w:ascii="Arial" w:hAnsi="Arial" w:cs="Arial"/>
        </w:rPr>
        <w:t xml:space="preserve"> in the country into a single, universally accessible system.  The NHIs addresses the </w:t>
      </w:r>
      <w:r w:rsidRPr="002965EC">
        <w:rPr>
          <w:rFonts w:ascii="Arial" w:hAnsi="Arial" w:cs="Arial"/>
        </w:rPr>
        <w:t xml:space="preserve">Constitutional right of citizens to have access to quality healthcare services that are delivered equitably, affordably, efficiently, effectively and appropriately based on social solidarity, progressive universalism, equity and health as a public good and a social investment. </w:t>
      </w:r>
    </w:p>
    <w:p w14:paraId="030EABF7" w14:textId="77777777" w:rsidR="007761F8" w:rsidRPr="002965EC" w:rsidRDefault="007761F8" w:rsidP="006308AD">
      <w:pPr>
        <w:rPr>
          <w:rFonts w:ascii="Arial" w:hAnsi="Arial" w:cs="Arial"/>
          <w:b/>
          <w:i/>
          <w:iCs/>
          <w:szCs w:val="24"/>
          <w:shd w:val="clear" w:color="auto" w:fill="FFFF00"/>
        </w:rPr>
      </w:pPr>
      <w:r w:rsidRPr="002965EC">
        <w:rPr>
          <w:rFonts w:ascii="Arial" w:hAnsi="Arial" w:cs="Arial"/>
          <w:b/>
          <w:szCs w:val="24"/>
        </w:rPr>
        <w:t>Reproductive Health Care</w:t>
      </w:r>
    </w:p>
    <w:p w14:paraId="64E7C33F" w14:textId="77777777" w:rsidR="006308AD" w:rsidRPr="002965EC" w:rsidRDefault="006308AD" w:rsidP="006308AD">
      <w:pPr>
        <w:rPr>
          <w:rFonts w:ascii="Arial" w:hAnsi="Arial" w:cs="Arial"/>
          <w:i/>
          <w:iCs/>
          <w:szCs w:val="24"/>
          <w:shd w:val="clear" w:color="auto" w:fill="FFFF00"/>
        </w:rPr>
      </w:pPr>
      <w:r w:rsidRPr="002965EC">
        <w:rPr>
          <w:rFonts w:ascii="Arial" w:hAnsi="Arial" w:cs="Arial"/>
          <w:szCs w:val="24"/>
        </w:rPr>
        <w:t xml:space="preserve">The right to accessible health care, bodily and psychological integrity; reproductive health care as well as the right to make decisions concerning reproduction (reproductive self-determination) are entrenched in section 12 (especially s 12(2) and 27(1)(b)) of the Constitution. Since 1994 the State has put in place several measures to ensure the </w:t>
      </w:r>
      <w:proofErr w:type="spellStart"/>
      <w:r w:rsidRPr="002965EC">
        <w:rPr>
          <w:rFonts w:ascii="Arial" w:hAnsi="Arial" w:cs="Arial"/>
          <w:szCs w:val="24"/>
        </w:rPr>
        <w:t>realisation</w:t>
      </w:r>
      <w:proofErr w:type="spellEnd"/>
      <w:r w:rsidRPr="002965EC">
        <w:rPr>
          <w:rFonts w:ascii="Arial" w:hAnsi="Arial" w:cs="Arial"/>
          <w:szCs w:val="24"/>
        </w:rPr>
        <w:t xml:space="preserve"> of health care rights. In CEDAW, Articles 12(1), 12(2), 14(2)(b), 6, 10(f), 11(1)(f) and 11(2)(d) pronounces on health issues related to women, and especially to rural based women. The Cairo Declaration and International Convention of Population Development (ICPD) states that women have the right to make decisions concerning reproduction free from coercion and discrimination, </w:t>
      </w:r>
    </w:p>
    <w:p w14:paraId="2A3A41A6" w14:textId="77777777" w:rsidR="006308AD" w:rsidRPr="002965EC" w:rsidRDefault="006308AD" w:rsidP="006308AD">
      <w:pPr>
        <w:rPr>
          <w:rFonts w:ascii="Arial" w:hAnsi="Arial" w:cs="Arial"/>
          <w:szCs w:val="24"/>
        </w:rPr>
      </w:pPr>
      <w:r w:rsidRPr="002965EC">
        <w:rPr>
          <w:rFonts w:ascii="Arial" w:hAnsi="Arial" w:cs="Arial"/>
          <w:szCs w:val="24"/>
        </w:rPr>
        <w:t xml:space="preserve">Reproductive rights include an assortment of different rights and issues related to the right to security, dignity, physical autonomy, reproductive technology and trial testing; HIV and AIDs, sex education and access to health care and health care facilities. </w:t>
      </w:r>
    </w:p>
    <w:p w14:paraId="17F54E28" w14:textId="77777777" w:rsidR="006308AD" w:rsidRPr="002965EC" w:rsidRDefault="006308AD" w:rsidP="006308AD">
      <w:pPr>
        <w:rPr>
          <w:rFonts w:ascii="Arial" w:hAnsi="Arial" w:cs="Arial"/>
          <w:szCs w:val="24"/>
        </w:rPr>
      </w:pPr>
      <w:r w:rsidRPr="002965EC">
        <w:rPr>
          <w:rFonts w:ascii="Arial" w:hAnsi="Arial" w:cs="Arial"/>
          <w:szCs w:val="24"/>
        </w:rPr>
        <w:lastRenderedPageBreak/>
        <w:t xml:space="preserve">Over the past 25 years there has been progressive changes as well to the access to in vitro </w:t>
      </w:r>
      <w:proofErr w:type="spellStart"/>
      <w:r w:rsidRPr="002965EC">
        <w:rPr>
          <w:rFonts w:ascii="Arial" w:hAnsi="Arial" w:cs="Arial"/>
          <w:szCs w:val="24"/>
        </w:rPr>
        <w:t>fertilisation</w:t>
      </w:r>
      <w:proofErr w:type="spellEnd"/>
      <w:r w:rsidRPr="002965EC">
        <w:rPr>
          <w:rFonts w:ascii="Arial" w:hAnsi="Arial" w:cs="Arial"/>
          <w:szCs w:val="24"/>
        </w:rPr>
        <w:t xml:space="preserve"> treatments to include single women and lesbian couples and where married women could previously only access this service with the consent of their husbands, since 1996 it is possible for married women to do so without acquiring the consent of their husbands.</w:t>
      </w:r>
    </w:p>
    <w:p w14:paraId="38C407A2" w14:textId="77777777" w:rsidR="006308AD" w:rsidRPr="002965EC" w:rsidRDefault="006308AD" w:rsidP="00F61FAB">
      <w:pPr>
        <w:pStyle w:val="Heading4"/>
        <w:rPr>
          <w:rFonts w:ascii="Arial" w:hAnsi="Arial" w:cs="Arial"/>
        </w:rPr>
      </w:pPr>
      <w:r w:rsidRPr="002965EC">
        <w:rPr>
          <w:rFonts w:ascii="Arial" w:hAnsi="Arial" w:cs="Arial"/>
        </w:rPr>
        <w:t xml:space="preserve">Forced </w:t>
      </w:r>
      <w:proofErr w:type="spellStart"/>
      <w:r w:rsidRPr="002965EC">
        <w:rPr>
          <w:rFonts w:ascii="Arial" w:hAnsi="Arial" w:cs="Arial"/>
        </w:rPr>
        <w:t>Sterilisation</w:t>
      </w:r>
      <w:proofErr w:type="spellEnd"/>
      <w:r w:rsidRPr="002965EC">
        <w:rPr>
          <w:rFonts w:ascii="Arial" w:hAnsi="Arial" w:cs="Arial"/>
        </w:rPr>
        <w:t xml:space="preserve"> </w:t>
      </w:r>
    </w:p>
    <w:p w14:paraId="5365A70B" w14:textId="77777777" w:rsidR="006308AD" w:rsidRPr="002965EC" w:rsidRDefault="006308AD" w:rsidP="006308AD">
      <w:pPr>
        <w:rPr>
          <w:rFonts w:ascii="Arial" w:hAnsi="Arial" w:cs="Arial"/>
          <w:szCs w:val="24"/>
        </w:rPr>
      </w:pPr>
      <w:r w:rsidRPr="002965EC">
        <w:rPr>
          <w:rFonts w:ascii="Arial" w:hAnsi="Arial" w:cs="Arial"/>
          <w:szCs w:val="24"/>
        </w:rPr>
        <w:t xml:space="preserve">Since 1994, sterilization was provided free of charge at state institutions and women did not need the consent of their husbands or partners/spouses for this procedure. In cases where the woman is incapable or legally incompetent to give her consent to </w:t>
      </w:r>
      <w:proofErr w:type="spellStart"/>
      <w:r w:rsidRPr="002965EC">
        <w:rPr>
          <w:rFonts w:ascii="Arial" w:hAnsi="Arial" w:cs="Arial"/>
          <w:szCs w:val="24"/>
        </w:rPr>
        <w:t>sterilisation</w:t>
      </w:r>
      <w:proofErr w:type="spellEnd"/>
      <w:r w:rsidRPr="002965EC">
        <w:rPr>
          <w:rFonts w:ascii="Arial" w:hAnsi="Arial" w:cs="Arial"/>
          <w:szCs w:val="24"/>
        </w:rPr>
        <w:t xml:space="preserve">, this is protected for in the law. Hence this means that forced </w:t>
      </w:r>
      <w:proofErr w:type="spellStart"/>
      <w:r w:rsidRPr="002965EC">
        <w:rPr>
          <w:rFonts w:ascii="Arial" w:hAnsi="Arial" w:cs="Arial"/>
          <w:szCs w:val="24"/>
        </w:rPr>
        <w:t>sterilisation</w:t>
      </w:r>
      <w:proofErr w:type="spellEnd"/>
      <w:r w:rsidRPr="002965EC">
        <w:rPr>
          <w:rFonts w:ascii="Arial" w:hAnsi="Arial" w:cs="Arial"/>
          <w:szCs w:val="24"/>
        </w:rPr>
        <w:t xml:space="preserve"> is illegal and against the human rights of women. Unfortunately, there were instances of this in the country over the past 25 years.</w:t>
      </w:r>
      <w:r w:rsidR="00854FE7" w:rsidRPr="002965EC">
        <w:rPr>
          <w:rFonts w:ascii="Arial" w:hAnsi="Arial" w:cs="Arial"/>
          <w:szCs w:val="24"/>
        </w:rPr>
        <w:t xml:space="preserve"> Forced sterilization</w:t>
      </w:r>
      <w:r w:rsidR="00CA0185" w:rsidRPr="002965EC">
        <w:rPr>
          <w:rFonts w:ascii="Arial" w:hAnsi="Arial" w:cs="Arial"/>
          <w:szCs w:val="24"/>
        </w:rPr>
        <w:t>s</w:t>
      </w:r>
      <w:r w:rsidR="00854FE7" w:rsidRPr="002965EC">
        <w:rPr>
          <w:rFonts w:ascii="Arial" w:hAnsi="Arial" w:cs="Arial"/>
          <w:szCs w:val="24"/>
        </w:rPr>
        <w:t xml:space="preserve"> in South Africa w</w:t>
      </w:r>
      <w:r w:rsidR="00CA0185" w:rsidRPr="002965EC">
        <w:rPr>
          <w:rFonts w:ascii="Arial" w:hAnsi="Arial" w:cs="Arial"/>
          <w:szCs w:val="24"/>
        </w:rPr>
        <w:t>ere</w:t>
      </w:r>
      <w:r w:rsidR="00854FE7" w:rsidRPr="002965EC">
        <w:rPr>
          <w:rFonts w:ascii="Arial" w:hAnsi="Arial" w:cs="Arial"/>
          <w:szCs w:val="24"/>
        </w:rPr>
        <w:t xml:space="preserve"> mainly </w:t>
      </w:r>
      <w:r w:rsidR="00CA0185" w:rsidRPr="002965EC">
        <w:rPr>
          <w:rFonts w:ascii="Arial" w:hAnsi="Arial" w:cs="Arial"/>
          <w:szCs w:val="24"/>
        </w:rPr>
        <w:t xml:space="preserve">conducted </w:t>
      </w:r>
      <w:r w:rsidR="00854FE7" w:rsidRPr="002965EC">
        <w:rPr>
          <w:rFonts w:ascii="Arial" w:hAnsi="Arial" w:cs="Arial"/>
          <w:szCs w:val="24"/>
        </w:rPr>
        <w:t xml:space="preserve">during the advent of </w:t>
      </w:r>
      <w:r w:rsidR="00CA0185" w:rsidRPr="002965EC">
        <w:rPr>
          <w:rFonts w:ascii="Arial" w:hAnsi="Arial" w:cs="Arial"/>
          <w:szCs w:val="24"/>
        </w:rPr>
        <w:t xml:space="preserve">the </w:t>
      </w:r>
      <w:r w:rsidR="00854FE7" w:rsidRPr="002965EC">
        <w:rPr>
          <w:rFonts w:ascii="Arial" w:hAnsi="Arial" w:cs="Arial"/>
          <w:szCs w:val="24"/>
        </w:rPr>
        <w:t xml:space="preserve">HIV </w:t>
      </w:r>
      <w:r w:rsidR="00CA0185" w:rsidRPr="002965EC">
        <w:rPr>
          <w:rFonts w:ascii="Arial" w:hAnsi="Arial" w:cs="Arial"/>
          <w:szCs w:val="24"/>
        </w:rPr>
        <w:t xml:space="preserve">epidemic </w:t>
      </w:r>
      <w:r w:rsidR="00854FE7" w:rsidRPr="002965EC">
        <w:rPr>
          <w:rFonts w:ascii="Arial" w:hAnsi="Arial" w:cs="Arial"/>
          <w:szCs w:val="24"/>
        </w:rPr>
        <w:t>and whe</w:t>
      </w:r>
      <w:r w:rsidR="00CA0185" w:rsidRPr="002965EC">
        <w:rPr>
          <w:rFonts w:ascii="Arial" w:hAnsi="Arial" w:cs="Arial"/>
          <w:szCs w:val="24"/>
        </w:rPr>
        <w:t>n</w:t>
      </w:r>
      <w:r w:rsidR="00854FE7" w:rsidRPr="002965EC">
        <w:rPr>
          <w:rFonts w:ascii="Arial" w:hAnsi="Arial" w:cs="Arial"/>
          <w:szCs w:val="24"/>
        </w:rPr>
        <w:t xml:space="preserve"> there was no </w:t>
      </w:r>
      <w:r w:rsidR="00CA0185" w:rsidRPr="002965EC">
        <w:rPr>
          <w:rFonts w:ascii="Arial" w:hAnsi="Arial" w:cs="Arial"/>
          <w:szCs w:val="24"/>
        </w:rPr>
        <w:t>antiretroviral treatment</w:t>
      </w:r>
      <w:r w:rsidR="00854FE7" w:rsidRPr="002965EC">
        <w:rPr>
          <w:rFonts w:ascii="Arial" w:hAnsi="Arial" w:cs="Arial"/>
          <w:szCs w:val="24"/>
        </w:rPr>
        <w:t xml:space="preserve">. </w:t>
      </w:r>
      <w:r w:rsidR="00854FE7" w:rsidRPr="002965EC">
        <w:rPr>
          <w:rFonts w:ascii="Arial" w:hAnsi="Arial" w:cs="Arial"/>
        </w:rPr>
        <w:t>In a 2014 study on HIV stigma 7 percent of respondents interviewed said they had been forcibly sterilized.</w:t>
      </w:r>
    </w:p>
    <w:p w14:paraId="7DC63EFD" w14:textId="77777777" w:rsidR="006308AD" w:rsidRPr="002965EC" w:rsidRDefault="006308AD" w:rsidP="00F61FAB">
      <w:pPr>
        <w:pStyle w:val="Heading4"/>
        <w:rPr>
          <w:rFonts w:ascii="Arial" w:hAnsi="Arial" w:cs="Arial"/>
        </w:rPr>
      </w:pPr>
      <w:r w:rsidRPr="002965EC">
        <w:rPr>
          <w:rFonts w:ascii="Arial" w:hAnsi="Arial" w:cs="Arial"/>
        </w:rPr>
        <w:t>Termination of Pregnancy / Abortion and Illegal Abortion</w:t>
      </w:r>
    </w:p>
    <w:p w14:paraId="396B62A0" w14:textId="77777777" w:rsidR="006308AD" w:rsidRPr="002965EC" w:rsidRDefault="006308AD" w:rsidP="006308AD">
      <w:pPr>
        <w:rPr>
          <w:rFonts w:ascii="Arial" w:hAnsi="Arial" w:cs="Arial"/>
          <w:szCs w:val="24"/>
        </w:rPr>
      </w:pPr>
      <w:r w:rsidRPr="002965EC">
        <w:rPr>
          <w:rFonts w:ascii="Arial" w:hAnsi="Arial" w:cs="Arial"/>
          <w:szCs w:val="24"/>
        </w:rPr>
        <w:t>On the matter of termination of pregnancy or abortion as it is commonly known, prior to 1994, it was an illegal practice and a criminal offence. Hence illegal abortions and “backstreet” abortion clinics were rife. The Choice of Termination of Pregnancy Act, No 92 of 1996 was enacted and ensures that women and girls from 12 years on are able to access the procedure at designated institutions. In addition, consent from a partner or parents in the instance of a girl of 12 years and older is not needed. Discrimination on the basis of HIV is outlawed in the workplace in the Employment Equity Act as well as in the Equality Act of 2000.</w:t>
      </w:r>
    </w:p>
    <w:p w14:paraId="67B3718F" w14:textId="77777777" w:rsidR="00402963" w:rsidRPr="002965EC" w:rsidRDefault="006308AD" w:rsidP="006308AD">
      <w:pPr>
        <w:rPr>
          <w:rFonts w:ascii="Arial" w:hAnsi="Arial" w:cs="Arial"/>
          <w:szCs w:val="24"/>
        </w:rPr>
      </w:pPr>
      <w:r w:rsidRPr="002965EC">
        <w:rPr>
          <w:rFonts w:ascii="Arial" w:hAnsi="Arial" w:cs="Arial"/>
          <w:szCs w:val="24"/>
        </w:rPr>
        <w:t xml:space="preserve">Primary health care including family planning, HIV/AIDS education and </w:t>
      </w:r>
      <w:r w:rsidR="00172138" w:rsidRPr="002965EC">
        <w:rPr>
          <w:rFonts w:ascii="Arial" w:hAnsi="Arial" w:cs="Arial"/>
          <w:szCs w:val="24"/>
        </w:rPr>
        <w:t>counseling</w:t>
      </w:r>
      <w:r w:rsidRPr="002965EC">
        <w:rPr>
          <w:rFonts w:ascii="Arial" w:hAnsi="Arial" w:cs="Arial"/>
          <w:szCs w:val="24"/>
        </w:rPr>
        <w:t>, maternal and child health services (deliveries, antenatal, postnatal and neonatal care) are provided for in legislation</w:t>
      </w:r>
      <w:r w:rsidR="00053299" w:rsidRPr="002965EC">
        <w:rPr>
          <w:rFonts w:ascii="Arial" w:hAnsi="Arial" w:cs="Arial"/>
          <w:szCs w:val="24"/>
        </w:rPr>
        <w:t xml:space="preserve">. </w:t>
      </w:r>
      <w:r w:rsidRPr="002965EC">
        <w:rPr>
          <w:rFonts w:ascii="Arial" w:hAnsi="Arial" w:cs="Arial"/>
          <w:szCs w:val="24"/>
        </w:rPr>
        <w:t>Since June 1994 pregnant women, women 42 days post pregnancy, women with complications arising from delivery and children under the age of 6 years are able to access free primary health care, with a particular emphasis on the urban poor, rural and farm workers.</w:t>
      </w:r>
      <w:r w:rsidR="00402963" w:rsidRPr="002965EC">
        <w:rPr>
          <w:rFonts w:ascii="Arial" w:hAnsi="Arial" w:cs="Arial"/>
          <w:szCs w:val="24"/>
        </w:rPr>
        <w:t xml:space="preserve"> Provision of antiretroviral treatment</w:t>
      </w:r>
      <w:r w:rsidR="00337F31" w:rsidRPr="002965EC">
        <w:rPr>
          <w:rFonts w:ascii="Arial" w:hAnsi="Arial" w:cs="Arial"/>
          <w:szCs w:val="24"/>
        </w:rPr>
        <w:t>. Integrated school health programme</w:t>
      </w:r>
    </w:p>
    <w:p w14:paraId="6A186831" w14:textId="77777777" w:rsidR="006308AD" w:rsidRPr="002965EC" w:rsidRDefault="006308AD" w:rsidP="006308AD">
      <w:pPr>
        <w:pStyle w:val="Heading3"/>
        <w:rPr>
          <w:rFonts w:ascii="Arial" w:hAnsi="Arial" w:cs="Arial"/>
          <w:noProof/>
          <w:szCs w:val="24"/>
        </w:rPr>
      </w:pPr>
      <w:bookmarkStart w:id="12" w:name="_Toc1372250"/>
      <w:bookmarkStart w:id="13" w:name="_Toc2094119"/>
      <w:r w:rsidRPr="002965EC">
        <w:rPr>
          <w:rFonts w:ascii="Arial" w:hAnsi="Arial" w:cs="Arial"/>
          <w:noProof/>
          <w:szCs w:val="24"/>
        </w:rPr>
        <w:t>Education</w:t>
      </w:r>
      <w:bookmarkEnd w:id="12"/>
      <w:bookmarkEnd w:id="13"/>
    </w:p>
    <w:p w14:paraId="4562198F" w14:textId="77777777" w:rsidR="006308AD" w:rsidRPr="002965EC" w:rsidRDefault="006308AD" w:rsidP="006308AD">
      <w:pPr>
        <w:rPr>
          <w:rFonts w:ascii="Arial" w:hAnsi="Arial" w:cs="Arial"/>
          <w:noProof/>
          <w:spacing w:val="-3"/>
          <w:szCs w:val="24"/>
        </w:rPr>
      </w:pPr>
      <w:r w:rsidRPr="002965EC">
        <w:rPr>
          <w:rFonts w:ascii="Arial" w:hAnsi="Arial" w:cs="Arial"/>
          <w:noProof/>
          <w:spacing w:val="-3"/>
          <w:szCs w:val="24"/>
        </w:rPr>
        <w:t xml:space="preserve">Education was one of the core areas in which racial and economic discriminations under the Apartheid regime was most significantly observed. This resulted in deep divisions between the different population groupimgs in the country in terms of provision, quality and equity of education. It was also divided along geographical lines – between urban and rural areas. However, the greatest ramification as a result of this past has been the effect and impact on women and girls where, especially those in the rural areas, suffered deep </w:t>
      </w:r>
      <w:r w:rsidRPr="002965EC">
        <w:rPr>
          <w:rFonts w:ascii="Arial" w:hAnsi="Arial" w:cs="Arial"/>
          <w:noProof/>
          <w:spacing w:val="-3"/>
          <w:szCs w:val="24"/>
        </w:rPr>
        <w:lastRenderedPageBreak/>
        <w:t xml:space="preserve">inequality in terms of accessing basic education, compounded by the burden of their domestic and care duties which their male counterparts did not share. As a consequence there was an inequitable educational system in the country and this still has consequences for young women and girls’s education in present day. </w:t>
      </w:r>
    </w:p>
    <w:p w14:paraId="5F7B6328" w14:textId="77777777" w:rsidR="006308AD" w:rsidRPr="002965EC" w:rsidRDefault="006308AD" w:rsidP="006308AD">
      <w:pPr>
        <w:rPr>
          <w:rFonts w:ascii="Arial" w:hAnsi="Arial" w:cs="Arial"/>
          <w:noProof/>
          <w:spacing w:val="-3"/>
          <w:szCs w:val="24"/>
        </w:rPr>
      </w:pPr>
      <w:r w:rsidRPr="002965EC">
        <w:rPr>
          <w:rFonts w:ascii="Arial" w:hAnsi="Arial" w:cs="Arial"/>
          <w:noProof/>
          <w:spacing w:val="-3"/>
          <w:szCs w:val="24"/>
        </w:rPr>
        <w:t>Section 29 of the Constitution provides for the right to receive basic education. CEDAW, article 10 provides for the right to equity of access to basic education. In 1994, there was no legislation that directly addressed the discrimination and harassment which female learners and students experienced. In 1995, the White Paper on Education and Training acknowleded that the right to education included gender equity. Since then the following legislation has bee</w:t>
      </w:r>
      <w:r w:rsidR="00774BAD" w:rsidRPr="002965EC">
        <w:rPr>
          <w:rFonts w:ascii="Arial" w:hAnsi="Arial" w:cs="Arial"/>
          <w:noProof/>
          <w:spacing w:val="-3"/>
          <w:szCs w:val="24"/>
        </w:rPr>
        <w:t>n enacted</w:t>
      </w:r>
    </w:p>
    <w:p w14:paraId="1B97D811" w14:textId="77777777" w:rsidR="00774BAD" w:rsidRPr="002965EC" w:rsidRDefault="00774BAD" w:rsidP="006308AD">
      <w:pPr>
        <w:rPr>
          <w:rFonts w:ascii="Arial" w:hAnsi="Arial" w:cs="Arial"/>
          <w:szCs w:val="24"/>
        </w:rPr>
      </w:pPr>
      <w:r w:rsidRPr="002965EC">
        <w:rPr>
          <w:rFonts w:ascii="Arial" w:hAnsi="Arial" w:cs="Arial"/>
          <w:szCs w:val="24"/>
        </w:rPr>
        <w:t>The Education and Training White Paper 1995 indicates that physical facilities of schools must provide a decent environment for learning, to address the challenges of many schools lacking electricity, a safe water supply and toilets.  To address this challenge the policy has the positions that the state, noting resource constraints, has an obligation to provide the basic physical facilities and equipment to all state schools. The provision of these physical facilities to state schools will include provision of basic services and infrastructure such as water, toilets and electricity.  The state is thus responsible to ensure that the physical infrastructure required for menstrual hygiene management is available at all state schools.</w:t>
      </w:r>
    </w:p>
    <w:p w14:paraId="2B48B22F" w14:textId="77777777" w:rsidR="0057714B" w:rsidRPr="002965EC" w:rsidRDefault="0057714B" w:rsidP="0057714B">
      <w:pPr>
        <w:pStyle w:val="Heading3"/>
        <w:rPr>
          <w:rFonts w:ascii="Arial" w:hAnsi="Arial" w:cs="Arial"/>
          <w:szCs w:val="24"/>
        </w:rPr>
      </w:pPr>
      <w:bookmarkStart w:id="14" w:name="_Toc1372249"/>
      <w:bookmarkStart w:id="15" w:name="_Toc2094120"/>
      <w:r w:rsidRPr="002965EC">
        <w:rPr>
          <w:rFonts w:ascii="Arial" w:hAnsi="Arial" w:cs="Arial"/>
          <w:szCs w:val="24"/>
        </w:rPr>
        <w:t>Housing</w:t>
      </w:r>
      <w:bookmarkEnd w:id="14"/>
      <w:bookmarkEnd w:id="15"/>
    </w:p>
    <w:p w14:paraId="1EE87CC8" w14:textId="77777777" w:rsidR="0057714B" w:rsidRPr="002965EC" w:rsidRDefault="0057714B" w:rsidP="0057714B">
      <w:pPr>
        <w:rPr>
          <w:rFonts w:ascii="Arial" w:hAnsi="Arial" w:cs="Arial"/>
          <w:szCs w:val="24"/>
        </w:rPr>
      </w:pPr>
      <w:r w:rsidRPr="002965EC">
        <w:rPr>
          <w:rFonts w:ascii="Arial" w:hAnsi="Arial" w:cs="Arial"/>
          <w:szCs w:val="24"/>
        </w:rPr>
        <w:t xml:space="preserve">Section 26 of the Constitution provided for the right of access to adequate housing, prohibits arbitrary evictions, and together with S9 provides for equality in access to adequate housing. It allowed for the progressive </w:t>
      </w:r>
      <w:proofErr w:type="spellStart"/>
      <w:r w:rsidRPr="002965EC">
        <w:rPr>
          <w:rFonts w:ascii="Arial" w:hAnsi="Arial" w:cs="Arial"/>
          <w:szCs w:val="24"/>
        </w:rPr>
        <w:t>realisation</w:t>
      </w:r>
      <w:proofErr w:type="spellEnd"/>
      <w:r w:rsidRPr="002965EC">
        <w:rPr>
          <w:rFonts w:ascii="Arial" w:hAnsi="Arial" w:cs="Arial"/>
          <w:szCs w:val="24"/>
        </w:rPr>
        <w:t xml:space="preserve"> of these rights and provided for special measures to promote achievement of equality in housing for vulnerable groups previously disadvantaged by unfair discrimination such as women. Article 14(2)(h) of CEDAW </w:t>
      </w:r>
      <w:proofErr w:type="spellStart"/>
      <w:r w:rsidRPr="002965EC">
        <w:rPr>
          <w:rFonts w:ascii="Arial" w:hAnsi="Arial" w:cs="Arial"/>
          <w:szCs w:val="24"/>
        </w:rPr>
        <w:t>recognises</w:t>
      </w:r>
      <w:proofErr w:type="spellEnd"/>
      <w:r w:rsidRPr="002965EC">
        <w:rPr>
          <w:rFonts w:ascii="Arial" w:hAnsi="Arial" w:cs="Arial"/>
          <w:szCs w:val="24"/>
        </w:rPr>
        <w:t xml:space="preserve"> the right to enjoy adequate housing. This is also contained within other international instruments such as the International Covenant on Economic, Social and Cultural Rights; the Istanbul Declaration on Human Settlements; the Beijing Platform for Action and the UN Resolution on “Women and the Right to Adequate Housing and to Land and Property”. </w:t>
      </w:r>
    </w:p>
    <w:p w14:paraId="5807D7FA" w14:textId="77777777" w:rsidR="0057714B" w:rsidRPr="002965EC" w:rsidRDefault="0057714B" w:rsidP="0057714B">
      <w:pPr>
        <w:rPr>
          <w:rFonts w:ascii="Arial" w:hAnsi="Arial" w:cs="Arial"/>
          <w:szCs w:val="24"/>
        </w:rPr>
      </w:pPr>
      <w:r w:rsidRPr="002965EC">
        <w:rPr>
          <w:rFonts w:ascii="Arial" w:hAnsi="Arial" w:cs="Arial"/>
          <w:szCs w:val="24"/>
        </w:rPr>
        <w:t>Female headed households, the elderly, rural households, the poor, the disabled and farm workers were since 1994 identified as part of the special measures for the provision of houses by Government through the RDP Housing Programme.</w:t>
      </w:r>
    </w:p>
    <w:p w14:paraId="3FF56B0F" w14:textId="77777777" w:rsidR="0057714B" w:rsidRPr="002965EC" w:rsidRDefault="0057714B" w:rsidP="0057714B">
      <w:pPr>
        <w:rPr>
          <w:rFonts w:ascii="Arial" w:hAnsi="Arial" w:cs="Arial"/>
          <w:szCs w:val="24"/>
        </w:rPr>
      </w:pPr>
      <w:r w:rsidRPr="002965EC">
        <w:rPr>
          <w:rFonts w:ascii="Arial" w:hAnsi="Arial" w:cs="Arial"/>
          <w:szCs w:val="24"/>
        </w:rPr>
        <w:t xml:space="preserve">Over the past 25 years housing subsidies have been provided for by government in order to enable people to purchase and own their own homes through the National Housing Subsidy Scheme. Unfortunately, women have not been the main beneficiaries of this programme given their socio-economic disadvantages experienced. This scheme </w:t>
      </w:r>
      <w:r w:rsidRPr="002965EC">
        <w:rPr>
          <w:rFonts w:ascii="Arial" w:hAnsi="Arial" w:cs="Arial"/>
          <w:szCs w:val="24"/>
        </w:rPr>
        <w:lastRenderedPageBreak/>
        <w:t>excluded single men and women and only made provision for those in a relationship or those with dependents. Given power relations in a household/relationship as well, many women were not the owners of houses in which they lived, but mainly registered them under their partner’s names. However, this situation has gradually been changing over the years.</w:t>
      </w:r>
    </w:p>
    <w:p w14:paraId="4519051A" w14:textId="77777777" w:rsidR="0057714B" w:rsidRPr="002965EC" w:rsidRDefault="0057714B" w:rsidP="0057714B">
      <w:pPr>
        <w:rPr>
          <w:rFonts w:ascii="Arial" w:hAnsi="Arial" w:cs="Arial"/>
          <w:noProof/>
          <w:spacing w:val="-3"/>
          <w:szCs w:val="24"/>
        </w:rPr>
      </w:pPr>
      <w:r w:rsidRPr="002965EC">
        <w:rPr>
          <w:rFonts w:ascii="Arial" w:hAnsi="Arial" w:cs="Arial"/>
          <w:bCs/>
          <w:spacing w:val="-8"/>
          <w:kern w:val="36"/>
          <w:szCs w:val="24"/>
        </w:rPr>
        <w:t>The Development Facilitation Act, No. 67 of 1995</w:t>
      </w:r>
      <w:r w:rsidRPr="002965EC">
        <w:rPr>
          <w:rStyle w:val="FootnoteReference"/>
          <w:rFonts w:ascii="Arial" w:hAnsi="Arial" w:cs="Arial"/>
          <w:bCs/>
          <w:spacing w:val="-8"/>
          <w:kern w:val="36"/>
          <w:szCs w:val="24"/>
        </w:rPr>
        <w:footnoteReference w:id="5"/>
      </w:r>
      <w:r w:rsidRPr="002965EC">
        <w:rPr>
          <w:rFonts w:ascii="Arial" w:hAnsi="Arial" w:cs="Arial"/>
          <w:bCs/>
          <w:spacing w:val="-8"/>
          <w:kern w:val="36"/>
          <w:szCs w:val="24"/>
        </w:rPr>
        <w:t xml:space="preserve"> was enacted </w:t>
      </w:r>
      <w:r w:rsidRPr="002965EC">
        <w:rPr>
          <w:rFonts w:ascii="Arial" w:hAnsi="Arial" w:cs="Arial"/>
          <w:szCs w:val="24"/>
        </w:rPr>
        <w:t>t</w:t>
      </w:r>
      <w:r w:rsidRPr="002965EC">
        <w:rPr>
          <w:rFonts w:ascii="Arial" w:hAnsi="Arial" w:cs="Arial"/>
          <w:spacing w:val="-3"/>
          <w:szCs w:val="24"/>
        </w:rPr>
        <w:t xml:space="preserve">o introduce extraordinary measures to facilitate and speed up the implementation of reconstruction and development programmes and </w:t>
      </w:r>
      <w:hyperlink r:id="rId13" w:history="1">
        <w:r w:rsidRPr="002965EC">
          <w:rPr>
            <w:rStyle w:val="Hyperlink"/>
            <w:rFonts w:ascii="Arial" w:hAnsi="Arial" w:cs="Arial"/>
            <w:color w:val="auto"/>
            <w:spacing w:val="-3"/>
            <w:szCs w:val="24"/>
          </w:rPr>
          <w:t>projects</w:t>
        </w:r>
      </w:hyperlink>
      <w:r w:rsidRPr="002965EC">
        <w:rPr>
          <w:rFonts w:ascii="Arial" w:hAnsi="Arial" w:cs="Arial"/>
          <w:spacing w:val="-3"/>
          <w:szCs w:val="24"/>
        </w:rPr>
        <w:t xml:space="preserve"> in relation to land for residential purposes, small-scale farming or other needs and uses; to promote </w:t>
      </w:r>
      <w:hyperlink r:id="rId14" w:history="1">
        <w:r w:rsidRPr="002965EC">
          <w:rPr>
            <w:rStyle w:val="Hyperlink"/>
            <w:rFonts w:ascii="Arial" w:hAnsi="Arial" w:cs="Arial"/>
            <w:color w:val="auto"/>
            <w:spacing w:val="-3"/>
            <w:szCs w:val="24"/>
          </w:rPr>
          <w:t>security</w:t>
        </w:r>
      </w:hyperlink>
      <w:r w:rsidRPr="002965EC">
        <w:rPr>
          <w:rFonts w:ascii="Arial" w:hAnsi="Arial" w:cs="Arial"/>
          <w:spacing w:val="-3"/>
          <w:szCs w:val="24"/>
        </w:rPr>
        <w:t xml:space="preserve"> of tenure while ensuring that end-user </w:t>
      </w:r>
      <w:hyperlink r:id="rId15" w:history="1">
        <w:r w:rsidRPr="002965EC">
          <w:rPr>
            <w:rStyle w:val="Hyperlink"/>
            <w:rFonts w:ascii="Arial" w:hAnsi="Arial" w:cs="Arial"/>
            <w:color w:val="auto"/>
            <w:spacing w:val="-3"/>
            <w:szCs w:val="24"/>
          </w:rPr>
          <w:t>finance</w:t>
        </w:r>
      </w:hyperlink>
      <w:r w:rsidRPr="002965EC">
        <w:rPr>
          <w:rFonts w:ascii="Arial" w:hAnsi="Arial" w:cs="Arial"/>
          <w:spacing w:val="-3"/>
          <w:szCs w:val="24"/>
        </w:rPr>
        <w:t xml:space="preserve"> in the form of subsidies and loans becomes available as early as possible during the land development process. </w:t>
      </w:r>
      <w:r w:rsidRPr="002965EC">
        <w:rPr>
          <w:rFonts w:ascii="Arial" w:hAnsi="Arial" w:cs="Arial"/>
          <w:noProof/>
          <w:spacing w:val="-3"/>
          <w:szCs w:val="24"/>
        </w:rPr>
        <w:t xml:space="preserve"> It operated on the basis of gender neutrality with no specific reference to either female headed households or women. This legislation was repealed by the enactment of the Spatial Planning and Land Use Management Act, No 16 of 2013.</w:t>
      </w:r>
    </w:p>
    <w:p w14:paraId="6BE58A70" w14:textId="77777777" w:rsidR="0057714B" w:rsidRPr="002965EC" w:rsidRDefault="0057714B" w:rsidP="006308AD">
      <w:pPr>
        <w:rPr>
          <w:rFonts w:ascii="Arial" w:hAnsi="Arial" w:cs="Arial"/>
          <w:noProof/>
          <w:spacing w:val="-3"/>
          <w:szCs w:val="24"/>
        </w:rPr>
      </w:pPr>
      <w:r w:rsidRPr="002965EC">
        <w:rPr>
          <w:rFonts w:ascii="Arial" w:hAnsi="Arial" w:cs="Arial"/>
          <w:noProof/>
          <w:spacing w:val="-3"/>
          <w:szCs w:val="24"/>
        </w:rPr>
        <w:t xml:space="preserve">The Prevention of Illegal Evictions and the Unlawful Occupation of Land Act, No 19 of 1998 aimed to prohibit unlawful evictions. The preamble in the Act noted that special consideration must be given to the rights of certain vulnerable groups such as female headed households. </w:t>
      </w:r>
    </w:p>
    <w:p w14:paraId="5FFCDC47" w14:textId="77777777" w:rsidR="006308AD" w:rsidRPr="002965EC" w:rsidRDefault="006308AD" w:rsidP="006308AD">
      <w:pPr>
        <w:pStyle w:val="Heading3"/>
        <w:rPr>
          <w:rFonts w:ascii="Arial" w:hAnsi="Arial" w:cs="Arial"/>
          <w:noProof/>
          <w:szCs w:val="24"/>
        </w:rPr>
      </w:pPr>
      <w:bookmarkStart w:id="16" w:name="_Toc1372252"/>
      <w:bookmarkStart w:id="17" w:name="_Toc2094121"/>
      <w:r w:rsidRPr="002965EC">
        <w:rPr>
          <w:rFonts w:ascii="Arial" w:hAnsi="Arial" w:cs="Arial"/>
          <w:noProof/>
          <w:szCs w:val="24"/>
        </w:rPr>
        <w:t>Environment and Water</w:t>
      </w:r>
      <w:bookmarkEnd w:id="16"/>
      <w:bookmarkEnd w:id="17"/>
    </w:p>
    <w:p w14:paraId="029B77B9" w14:textId="77777777" w:rsidR="006308AD" w:rsidRPr="002965EC" w:rsidRDefault="006308AD" w:rsidP="006308AD">
      <w:pPr>
        <w:rPr>
          <w:rFonts w:ascii="Arial" w:hAnsi="Arial" w:cs="Arial"/>
          <w:noProof/>
          <w:spacing w:val="-3"/>
          <w:szCs w:val="24"/>
        </w:rPr>
      </w:pPr>
      <w:r w:rsidRPr="002965EC">
        <w:rPr>
          <w:rFonts w:ascii="Arial" w:hAnsi="Arial" w:cs="Arial"/>
          <w:noProof/>
          <w:spacing w:val="-3"/>
          <w:szCs w:val="24"/>
        </w:rPr>
        <w:t xml:space="preserve">Section 24 of the Constitution recognises the right to a healthy environment. </w:t>
      </w:r>
      <w:r w:rsidR="002B5EE8" w:rsidRPr="002965EC">
        <w:rPr>
          <w:rFonts w:ascii="Arial" w:hAnsi="Arial" w:cs="Arial"/>
          <w:noProof/>
          <w:spacing w:val="-3"/>
          <w:szCs w:val="24"/>
        </w:rPr>
        <w:t xml:space="preserve">The National Environmental Management Act, Act No 107 of 1998 (NEMA) is the sectoral legislation encompassing the legal requirements for the protection, conservation and management of the country’s natural resources and environmental assets. </w:t>
      </w:r>
      <w:r w:rsidR="002B5EE8" w:rsidRPr="002965EC">
        <w:rPr>
          <w:rFonts w:ascii="Arial" w:hAnsi="Arial" w:cs="Arial"/>
        </w:rPr>
        <w:t xml:space="preserve">In the main the </w:t>
      </w:r>
      <w:r w:rsidR="002B5EE8" w:rsidRPr="002965EC">
        <w:rPr>
          <w:rFonts w:ascii="Arial" w:hAnsi="Arial" w:cs="Arial"/>
          <w:noProof/>
          <w:spacing w:val="-3"/>
          <w:szCs w:val="24"/>
        </w:rPr>
        <w:t xml:space="preserve">NEMA provides for co-operative environmental governance by establishing principles for decision- making on matters affecting the environment, institutions that will promote co-operative governance and procedures for co-ordinating environmental functions exercised by organs of state. As such the NEMA has several specific environmental management acts (SEMAs) that focus on the various aspects of the environment e.g. Air Quality, Biodiversity, Waste Management etc. In accordance with the Constitution, the Department </w:t>
      </w:r>
      <w:r w:rsidR="002B5EE8" w:rsidRPr="002965EC">
        <w:rPr>
          <w:rFonts w:ascii="Arial" w:hAnsi="Arial" w:cs="Arial"/>
          <w:noProof/>
          <w:spacing w:val="-3"/>
          <w:szCs w:val="24"/>
        </w:rPr>
        <w:lastRenderedPageBreak/>
        <w:t>of Environmental Affairs (DEA) is the custodian and lead department for the environment sector consisting of several other organs of state</w:t>
      </w:r>
      <w:r w:rsidR="002B5EE8" w:rsidRPr="002965EC">
        <w:rPr>
          <w:rFonts w:ascii="Arial" w:hAnsi="Arial" w:cs="Arial"/>
        </w:rPr>
        <w:t xml:space="preserve"> making </w:t>
      </w:r>
      <w:r w:rsidR="002B5EE8" w:rsidRPr="002965EC">
        <w:rPr>
          <w:rFonts w:ascii="Arial" w:hAnsi="Arial" w:cs="Arial"/>
          <w:noProof/>
          <w:spacing w:val="-3"/>
          <w:szCs w:val="24"/>
        </w:rPr>
        <w:t>social protection systems, public services and sustainable infrastructure investments a joint cooperative effort by government at the differnet spheres of government. The role and contribution of the DEA to the UNCSW 63</w:t>
      </w:r>
      <w:r w:rsidR="002B5EE8" w:rsidRPr="002965EC">
        <w:rPr>
          <w:rFonts w:ascii="Arial" w:hAnsi="Arial" w:cs="Arial"/>
          <w:noProof/>
          <w:spacing w:val="-3"/>
          <w:szCs w:val="24"/>
          <w:vertAlign w:val="superscript"/>
        </w:rPr>
        <w:t>rd</w:t>
      </w:r>
      <w:r w:rsidR="002B5EE8" w:rsidRPr="002965EC">
        <w:rPr>
          <w:rFonts w:ascii="Arial" w:hAnsi="Arial" w:cs="Arial"/>
          <w:noProof/>
          <w:spacing w:val="-3"/>
          <w:szCs w:val="24"/>
        </w:rPr>
        <w:t xml:space="preserve"> session thus is rooted in the realisation the country’s natural resources and environmental assests are the templates for public services and the contribution of the Environment Sector will assist and shape the country’s response towards building the social protection systems as well as facilitate the required sustainable infrastructure investment and use.  </w:t>
      </w:r>
    </w:p>
    <w:p w14:paraId="214CA536" w14:textId="77777777" w:rsidR="0076454E" w:rsidRPr="002965EC" w:rsidRDefault="0076454E" w:rsidP="0076454E">
      <w:pPr>
        <w:rPr>
          <w:rFonts w:ascii="Arial" w:hAnsi="Arial" w:cs="Arial"/>
          <w:noProof/>
          <w:spacing w:val="-3"/>
          <w:szCs w:val="24"/>
        </w:rPr>
      </w:pPr>
      <w:r w:rsidRPr="002965EC">
        <w:rPr>
          <w:rFonts w:ascii="Arial" w:hAnsi="Arial" w:cs="Arial"/>
          <w:noProof/>
          <w:spacing w:val="-3"/>
          <w:szCs w:val="24"/>
        </w:rPr>
        <w:t>The Environment Sector has  committed to take initiatives that aim at addressing the imbalances of the past and gender inequality regardless of race, religion, disability, etc.  The guiding document for this area of work is the Strategy toward Gender Mainstreaming in the Environment Sector 2016 – 2021 and its Annual Implementation Plans. The Strategy is embedded in and aligns objectives with associated Country  commitments and priorities, as reflected in a number of country reports responding to the commitments of conventions, policies and platforms including amongst others the South Africa Beijing +20 Report (2015); The Status of Women in the South African Economy (2015); Towards An Enabling Environment For Women Economic Empowerment in South Africa – A Status Quo Report (2011);  Department of Public Service and Administration (DPSA) reports; and Millennium Developmen</w:t>
      </w:r>
      <w:r w:rsidR="00ED288E" w:rsidRPr="002965EC">
        <w:rPr>
          <w:rFonts w:ascii="Arial" w:hAnsi="Arial" w:cs="Arial"/>
          <w:noProof/>
          <w:spacing w:val="-3"/>
          <w:szCs w:val="24"/>
        </w:rPr>
        <w:t xml:space="preserve">t Goals Country Report (2013). </w:t>
      </w:r>
    </w:p>
    <w:p w14:paraId="146ADA85" w14:textId="77777777" w:rsidR="0076454E" w:rsidRPr="002965EC" w:rsidRDefault="0076454E" w:rsidP="0076454E">
      <w:pPr>
        <w:rPr>
          <w:rFonts w:ascii="Arial" w:hAnsi="Arial" w:cs="Arial"/>
          <w:noProof/>
          <w:spacing w:val="-3"/>
          <w:szCs w:val="24"/>
        </w:rPr>
      </w:pPr>
      <w:r w:rsidRPr="002965EC">
        <w:rPr>
          <w:rFonts w:ascii="Arial" w:hAnsi="Arial" w:cs="Arial"/>
          <w:noProof/>
          <w:spacing w:val="-3"/>
          <w:szCs w:val="24"/>
        </w:rPr>
        <w:t xml:space="preserve">Through the Strategy women in all walks of life, particularly in the environment sector, are encouraged to be actively involved in various initiatives that promote environmental protection for the benefit of the current and future generations. With the understanding that women remain an integral part of government’s environment programmes and their participation is critical in ensuring inclusiveness in environmental planning and decision-making, it is also the view of the DEA that women are often at the receiving end of abject poverty due to our historical past that entrenched patriarchal attitudes which excluded women from active participation in the broader economy and it is through the implementation of the Strategy that  that women could emerge as primary beneficiaries of opportunities created in the environment sector. Thus the Strategy is used as a mechanism to fuel and channel all gender mainstreaming efforts in the sector, the Strategy outlines, in the form of a Toolkit and an Action Plan, how the sector can, and should entrench values of gender mainstreaming and gender equality within the running of its environmental programmes i.e. Climate Change, Biodiversity Management, Waste Management, Air Quality Management, Oceans and Coasts Management, and the Green Economy to ensure equal access and participation in the sector by both men and women. </w:t>
      </w:r>
    </w:p>
    <w:p w14:paraId="624DD8E3" w14:textId="77777777" w:rsidR="0076454E" w:rsidRPr="002965EC" w:rsidRDefault="0076454E" w:rsidP="0076454E">
      <w:pPr>
        <w:rPr>
          <w:rFonts w:ascii="Arial" w:hAnsi="Arial" w:cs="Arial"/>
          <w:noProof/>
          <w:spacing w:val="-3"/>
          <w:szCs w:val="24"/>
        </w:rPr>
      </w:pPr>
      <w:r w:rsidRPr="002965EC">
        <w:rPr>
          <w:rFonts w:ascii="Arial" w:hAnsi="Arial" w:cs="Arial"/>
          <w:noProof/>
          <w:spacing w:val="-3"/>
          <w:szCs w:val="24"/>
        </w:rPr>
        <w:t>Priorities toward gender mainstreaming within the environment sector were identified and are to be implemented by the Strategy and the Gender Action Plan through the different strategies that have been outlined by the Strategy during to 2016 – 2020 are as follows:</w:t>
      </w:r>
    </w:p>
    <w:p w14:paraId="5F865B9F" w14:textId="77777777" w:rsidR="0076454E" w:rsidRPr="002965EC" w:rsidRDefault="0076454E" w:rsidP="0076454E">
      <w:pPr>
        <w:rPr>
          <w:rFonts w:ascii="Arial" w:hAnsi="Arial" w:cs="Arial"/>
          <w:noProof/>
          <w:spacing w:val="-3"/>
          <w:szCs w:val="24"/>
        </w:rPr>
      </w:pPr>
      <w:r w:rsidRPr="002965EC">
        <w:rPr>
          <w:rFonts w:ascii="Arial" w:hAnsi="Arial" w:cs="Arial"/>
          <w:noProof/>
          <w:spacing w:val="-3"/>
          <w:szCs w:val="24"/>
        </w:rPr>
        <w:lastRenderedPageBreak/>
        <w:t>•</w:t>
      </w:r>
      <w:r w:rsidRPr="002965EC">
        <w:rPr>
          <w:rFonts w:ascii="Arial" w:hAnsi="Arial" w:cs="Arial"/>
          <w:noProof/>
          <w:spacing w:val="-3"/>
          <w:szCs w:val="24"/>
        </w:rPr>
        <w:tab/>
        <w:t>Ensure policies accommodate gender mainstreaming and women issues;</w:t>
      </w:r>
    </w:p>
    <w:p w14:paraId="4075D6D3" w14:textId="77777777" w:rsidR="0076454E" w:rsidRPr="002965EC" w:rsidRDefault="0076454E" w:rsidP="0076454E">
      <w:pPr>
        <w:rPr>
          <w:rFonts w:ascii="Arial" w:hAnsi="Arial" w:cs="Arial"/>
          <w:noProof/>
          <w:spacing w:val="-3"/>
          <w:szCs w:val="24"/>
        </w:rPr>
      </w:pPr>
      <w:r w:rsidRPr="002965EC">
        <w:rPr>
          <w:rFonts w:ascii="Arial" w:hAnsi="Arial" w:cs="Arial"/>
          <w:noProof/>
          <w:spacing w:val="-3"/>
          <w:szCs w:val="24"/>
        </w:rPr>
        <w:t>•</w:t>
      </w:r>
      <w:r w:rsidRPr="002965EC">
        <w:rPr>
          <w:rFonts w:ascii="Arial" w:hAnsi="Arial" w:cs="Arial"/>
          <w:noProof/>
          <w:spacing w:val="-3"/>
          <w:szCs w:val="24"/>
        </w:rPr>
        <w:tab/>
        <w:t>Education and awareness i.e. Knowledge and skills transfer, mentorship programmes, Forging of partnerships and networking platforms, Integrate and environment element within school curricula, etc.;</w:t>
      </w:r>
    </w:p>
    <w:p w14:paraId="03BF445B" w14:textId="77777777" w:rsidR="0076454E" w:rsidRPr="002965EC" w:rsidRDefault="0076454E" w:rsidP="0076454E">
      <w:pPr>
        <w:rPr>
          <w:rFonts w:ascii="Arial" w:hAnsi="Arial" w:cs="Arial"/>
          <w:noProof/>
          <w:spacing w:val="-3"/>
          <w:szCs w:val="24"/>
        </w:rPr>
      </w:pPr>
      <w:r w:rsidRPr="002965EC">
        <w:rPr>
          <w:rFonts w:ascii="Arial" w:hAnsi="Arial" w:cs="Arial"/>
          <w:noProof/>
          <w:spacing w:val="-3"/>
          <w:szCs w:val="24"/>
        </w:rPr>
        <w:t>•</w:t>
      </w:r>
      <w:r w:rsidRPr="002965EC">
        <w:rPr>
          <w:rFonts w:ascii="Arial" w:hAnsi="Arial" w:cs="Arial"/>
          <w:noProof/>
          <w:spacing w:val="-3"/>
          <w:szCs w:val="24"/>
        </w:rPr>
        <w:tab/>
        <w:t>Create empowerment programmes that start with capacity development and then eventually result in tangible projects at grassroots. It is very important that provincial and local government are the key drivers of this.</w:t>
      </w:r>
    </w:p>
    <w:p w14:paraId="5BAE1985" w14:textId="7F5995EE" w:rsidR="0076454E" w:rsidRPr="00AC398E" w:rsidRDefault="0076454E" w:rsidP="00AC398E">
      <w:pPr>
        <w:pStyle w:val="ListParagraph"/>
        <w:numPr>
          <w:ilvl w:val="0"/>
          <w:numId w:val="9"/>
        </w:numPr>
        <w:rPr>
          <w:rFonts w:ascii="Arial" w:hAnsi="Arial" w:cs="Arial"/>
          <w:noProof/>
          <w:spacing w:val="-3"/>
          <w:szCs w:val="24"/>
        </w:rPr>
      </w:pPr>
      <w:r w:rsidRPr="00AC398E">
        <w:rPr>
          <w:rFonts w:ascii="Arial" w:hAnsi="Arial" w:cs="Arial"/>
          <w:noProof/>
          <w:spacing w:val="-3"/>
          <w:szCs w:val="24"/>
        </w:rPr>
        <w:t>Create opportunities for women to show case what they have achieved;</w:t>
      </w:r>
    </w:p>
    <w:p w14:paraId="4115E194" w14:textId="77C7516E" w:rsidR="0076454E" w:rsidRPr="00AC398E" w:rsidRDefault="0076454E" w:rsidP="00AC398E">
      <w:pPr>
        <w:pStyle w:val="ListParagraph"/>
        <w:numPr>
          <w:ilvl w:val="0"/>
          <w:numId w:val="9"/>
        </w:numPr>
        <w:rPr>
          <w:rFonts w:ascii="Arial" w:hAnsi="Arial" w:cs="Arial"/>
          <w:noProof/>
          <w:spacing w:val="-3"/>
          <w:szCs w:val="24"/>
        </w:rPr>
      </w:pPr>
      <w:r w:rsidRPr="00AC398E">
        <w:rPr>
          <w:rFonts w:ascii="Arial" w:hAnsi="Arial" w:cs="Arial"/>
          <w:noProof/>
          <w:spacing w:val="-3"/>
          <w:szCs w:val="24"/>
        </w:rPr>
        <w:t xml:space="preserve">Creating and ensuring access to financial assistance and technological advances; </w:t>
      </w:r>
    </w:p>
    <w:p w14:paraId="7F7BB192" w14:textId="40C4B222" w:rsidR="0076454E" w:rsidRPr="00AC398E" w:rsidRDefault="0076454E" w:rsidP="00AC398E">
      <w:pPr>
        <w:pStyle w:val="ListParagraph"/>
        <w:numPr>
          <w:ilvl w:val="0"/>
          <w:numId w:val="9"/>
        </w:numPr>
        <w:rPr>
          <w:rFonts w:ascii="Arial" w:hAnsi="Arial" w:cs="Arial"/>
          <w:noProof/>
          <w:spacing w:val="-3"/>
          <w:szCs w:val="24"/>
        </w:rPr>
      </w:pPr>
      <w:r w:rsidRPr="00AC398E">
        <w:rPr>
          <w:rFonts w:ascii="Arial" w:hAnsi="Arial" w:cs="Arial"/>
          <w:noProof/>
          <w:spacing w:val="-3"/>
          <w:szCs w:val="24"/>
        </w:rPr>
        <w:t>Focus on women in rural areas;</w:t>
      </w:r>
    </w:p>
    <w:p w14:paraId="475820D4" w14:textId="108A005B" w:rsidR="0076454E" w:rsidRPr="00AC398E" w:rsidRDefault="0076454E" w:rsidP="00AC398E">
      <w:pPr>
        <w:pStyle w:val="ListParagraph"/>
        <w:numPr>
          <w:ilvl w:val="0"/>
          <w:numId w:val="9"/>
        </w:numPr>
        <w:rPr>
          <w:rFonts w:ascii="Arial" w:hAnsi="Arial" w:cs="Arial"/>
          <w:noProof/>
          <w:spacing w:val="-3"/>
          <w:szCs w:val="24"/>
        </w:rPr>
      </w:pPr>
      <w:r w:rsidRPr="00AC398E">
        <w:rPr>
          <w:rFonts w:ascii="Arial" w:hAnsi="Arial" w:cs="Arial"/>
          <w:noProof/>
          <w:spacing w:val="-3"/>
          <w:szCs w:val="24"/>
        </w:rPr>
        <w:t xml:space="preserve">Raise literacy levels of women involved in projects and ensure participation of women with disability and women with children with disabilities; </w:t>
      </w:r>
    </w:p>
    <w:p w14:paraId="1AF04959" w14:textId="71F13CA8" w:rsidR="0076454E" w:rsidRPr="00AC398E" w:rsidRDefault="0076454E" w:rsidP="00AC398E">
      <w:pPr>
        <w:pStyle w:val="ListParagraph"/>
        <w:numPr>
          <w:ilvl w:val="0"/>
          <w:numId w:val="9"/>
        </w:numPr>
        <w:rPr>
          <w:rFonts w:ascii="Arial" w:hAnsi="Arial" w:cs="Arial"/>
          <w:noProof/>
          <w:spacing w:val="-3"/>
          <w:szCs w:val="24"/>
        </w:rPr>
      </w:pPr>
      <w:r w:rsidRPr="00AC398E">
        <w:rPr>
          <w:rFonts w:ascii="Arial" w:hAnsi="Arial" w:cs="Arial"/>
          <w:noProof/>
          <w:spacing w:val="-3"/>
          <w:szCs w:val="24"/>
        </w:rPr>
        <w:t>Identify already existing projects and identify gaps while ensuring project sustainability for continuity;</w:t>
      </w:r>
    </w:p>
    <w:p w14:paraId="0F3A9721" w14:textId="049855D8" w:rsidR="0076454E" w:rsidRPr="00AC398E" w:rsidRDefault="0076454E" w:rsidP="00AC398E">
      <w:pPr>
        <w:pStyle w:val="ListParagraph"/>
        <w:numPr>
          <w:ilvl w:val="0"/>
          <w:numId w:val="9"/>
        </w:numPr>
        <w:rPr>
          <w:rFonts w:ascii="Arial" w:hAnsi="Arial" w:cs="Arial"/>
          <w:noProof/>
          <w:spacing w:val="-3"/>
          <w:szCs w:val="24"/>
        </w:rPr>
      </w:pPr>
      <w:r w:rsidRPr="00AC398E">
        <w:rPr>
          <w:rFonts w:ascii="Arial" w:hAnsi="Arial" w:cs="Arial"/>
          <w:noProof/>
          <w:spacing w:val="-3"/>
          <w:szCs w:val="24"/>
        </w:rPr>
        <w:t>Gender Focal Points (GFP) established at all departments which serve as nodal points for gender mainstreaming into the core of each department’s core functions and who’s location should ideally be in the Director Generals’ offices at Director level and upward to ensure uniformity.</w:t>
      </w:r>
    </w:p>
    <w:p w14:paraId="55C47E84" w14:textId="2ACC033A" w:rsidR="0076454E" w:rsidRPr="00AC398E" w:rsidRDefault="0076454E" w:rsidP="00AC398E">
      <w:pPr>
        <w:pStyle w:val="ListParagraph"/>
        <w:numPr>
          <w:ilvl w:val="0"/>
          <w:numId w:val="9"/>
        </w:numPr>
        <w:rPr>
          <w:rFonts w:ascii="Arial" w:hAnsi="Arial" w:cs="Arial"/>
          <w:noProof/>
          <w:spacing w:val="-3"/>
          <w:szCs w:val="24"/>
        </w:rPr>
      </w:pPr>
      <w:r w:rsidRPr="00AC398E">
        <w:rPr>
          <w:rFonts w:ascii="Arial" w:hAnsi="Arial" w:cs="Arial"/>
          <w:noProof/>
          <w:spacing w:val="-3"/>
          <w:szCs w:val="24"/>
        </w:rPr>
        <w:t xml:space="preserve">Identify sector funding partners for the implementation of the Strategy </w:t>
      </w:r>
    </w:p>
    <w:p w14:paraId="6E366A43" w14:textId="77777777" w:rsidR="0076454E" w:rsidRPr="002965EC" w:rsidRDefault="0076454E" w:rsidP="0076454E">
      <w:pPr>
        <w:rPr>
          <w:rFonts w:ascii="Arial" w:hAnsi="Arial" w:cs="Arial"/>
          <w:noProof/>
          <w:spacing w:val="-3"/>
          <w:szCs w:val="24"/>
        </w:rPr>
      </w:pPr>
      <w:r w:rsidRPr="002965EC">
        <w:rPr>
          <w:rFonts w:ascii="Arial" w:hAnsi="Arial" w:cs="Arial"/>
          <w:noProof/>
          <w:spacing w:val="-3"/>
          <w:szCs w:val="24"/>
        </w:rPr>
        <w:t>The Strategy further outlines the following key strategies that will assist the sector implementing the Gender Action Plan/s: Policy Formulation; Institutional Support; Programme Management; Resource Mobilisation; Communication Management; Internal Transformation; Economic Transformation;  Monitoring, Evaluation and Reporting; Capacity Building; Advocacy and Awareness Raising; and Research and Evidence.</w:t>
      </w:r>
    </w:p>
    <w:p w14:paraId="38978427" w14:textId="77777777" w:rsidR="0076454E" w:rsidRPr="002965EC" w:rsidRDefault="0076454E" w:rsidP="0076454E">
      <w:pPr>
        <w:rPr>
          <w:rFonts w:ascii="Arial" w:hAnsi="Arial" w:cs="Arial"/>
          <w:noProof/>
          <w:spacing w:val="-3"/>
          <w:szCs w:val="24"/>
        </w:rPr>
      </w:pPr>
      <w:r w:rsidRPr="002965EC">
        <w:rPr>
          <w:rFonts w:ascii="Arial" w:hAnsi="Arial" w:cs="Arial"/>
          <w:noProof/>
          <w:spacing w:val="-3"/>
          <w:szCs w:val="24"/>
        </w:rPr>
        <w:t xml:space="preserve">The gender mainstreaming annual implementation plans for the Environment Sector for 2016 - 2021 includes the following Key Performance Areas that must be measured by the sector to be able to gauge progress towards gender mainstreaming in all environmental programmes: Research, Development and Evidence; Partnerships, Events, Funding Models as well as Advocacy/Governance and Planning. </w:t>
      </w:r>
    </w:p>
    <w:p w14:paraId="27B590BB" w14:textId="77777777" w:rsidR="0076454E" w:rsidRPr="002965EC" w:rsidRDefault="0076454E" w:rsidP="0076454E">
      <w:pPr>
        <w:rPr>
          <w:rFonts w:ascii="Arial" w:hAnsi="Arial" w:cs="Arial"/>
          <w:noProof/>
          <w:spacing w:val="-3"/>
          <w:szCs w:val="24"/>
        </w:rPr>
      </w:pPr>
      <w:r w:rsidRPr="002965EC">
        <w:rPr>
          <w:rFonts w:ascii="Arial" w:hAnsi="Arial" w:cs="Arial"/>
          <w:noProof/>
          <w:spacing w:val="-3"/>
          <w:szCs w:val="24"/>
        </w:rPr>
        <w:t>The Programmes of Government that were assessed for the purposes of the Beijing +20 South Africa Report and will continue to be assessed are:</w:t>
      </w:r>
    </w:p>
    <w:p w14:paraId="7B7E1120" w14:textId="39C09A79" w:rsidR="0076454E" w:rsidRPr="00AC398E" w:rsidRDefault="0076454E" w:rsidP="00AC398E">
      <w:pPr>
        <w:pStyle w:val="ListParagraph"/>
        <w:numPr>
          <w:ilvl w:val="0"/>
          <w:numId w:val="11"/>
        </w:numPr>
        <w:rPr>
          <w:rFonts w:ascii="Arial" w:hAnsi="Arial" w:cs="Arial"/>
          <w:noProof/>
          <w:spacing w:val="-3"/>
          <w:szCs w:val="24"/>
        </w:rPr>
      </w:pPr>
      <w:r w:rsidRPr="00AC398E">
        <w:rPr>
          <w:rFonts w:ascii="Arial" w:hAnsi="Arial" w:cs="Arial"/>
          <w:noProof/>
          <w:spacing w:val="-3"/>
          <w:szCs w:val="24"/>
        </w:rPr>
        <w:t>Environmental Quality and Protection: Protect and improve the quality and safety of the environment to give effect to the right of all South Africans to an environment that is not harmful to health and wellbeing.</w:t>
      </w:r>
    </w:p>
    <w:p w14:paraId="2E63E57F" w14:textId="73E0321C" w:rsidR="0076454E" w:rsidRPr="00AC398E" w:rsidRDefault="0076454E" w:rsidP="00AC398E">
      <w:pPr>
        <w:pStyle w:val="ListParagraph"/>
        <w:numPr>
          <w:ilvl w:val="0"/>
          <w:numId w:val="11"/>
        </w:numPr>
        <w:rPr>
          <w:rFonts w:ascii="Arial" w:hAnsi="Arial" w:cs="Arial"/>
          <w:noProof/>
          <w:spacing w:val="-3"/>
          <w:szCs w:val="24"/>
        </w:rPr>
      </w:pPr>
      <w:r w:rsidRPr="00AC398E">
        <w:rPr>
          <w:rFonts w:ascii="Arial" w:hAnsi="Arial" w:cs="Arial"/>
          <w:noProof/>
          <w:spacing w:val="-3"/>
          <w:szCs w:val="24"/>
        </w:rPr>
        <w:t xml:space="preserve">Oceans and Coasts: Ensure that government, industry and the public are informed, supported and regulated to act responsibly to conserve the ocean and coastal </w:t>
      </w:r>
      <w:r w:rsidRPr="00AC398E">
        <w:rPr>
          <w:rFonts w:ascii="Arial" w:hAnsi="Arial" w:cs="Arial"/>
          <w:noProof/>
          <w:spacing w:val="-3"/>
          <w:szCs w:val="24"/>
        </w:rPr>
        <w:lastRenderedPageBreak/>
        <w:t xml:space="preserve">environment as well as to honour South Africa’s local and global obligations. There is still however a need to the extent to which women benefit from oceans and coastal resources in terms of harvesting needs, which in essence need to be improved and prioritised e.g. gender sensitive fishing quota distributions. </w:t>
      </w:r>
    </w:p>
    <w:p w14:paraId="49681021" w14:textId="4C55081C" w:rsidR="0076454E" w:rsidRPr="00AC398E" w:rsidRDefault="0076454E" w:rsidP="00AC398E">
      <w:pPr>
        <w:pStyle w:val="ListParagraph"/>
        <w:numPr>
          <w:ilvl w:val="0"/>
          <w:numId w:val="11"/>
        </w:numPr>
        <w:rPr>
          <w:rFonts w:ascii="Arial" w:hAnsi="Arial" w:cs="Arial"/>
          <w:noProof/>
          <w:spacing w:val="-3"/>
          <w:szCs w:val="24"/>
        </w:rPr>
      </w:pPr>
      <w:r w:rsidRPr="00AC398E">
        <w:rPr>
          <w:rFonts w:ascii="Arial" w:hAnsi="Arial" w:cs="Arial"/>
          <w:noProof/>
          <w:spacing w:val="-3"/>
          <w:szCs w:val="24"/>
        </w:rPr>
        <w:t xml:space="preserve">Climate Change: Promote, coordinate and manage an effective national mitigation and adaptation response to climate change. </w:t>
      </w:r>
    </w:p>
    <w:p w14:paraId="383F9768" w14:textId="233EB8B5" w:rsidR="0076454E" w:rsidRPr="00AC398E" w:rsidRDefault="0076454E" w:rsidP="00AC398E">
      <w:pPr>
        <w:pStyle w:val="ListParagraph"/>
        <w:numPr>
          <w:ilvl w:val="0"/>
          <w:numId w:val="11"/>
        </w:numPr>
        <w:rPr>
          <w:rFonts w:ascii="Arial" w:hAnsi="Arial" w:cs="Arial"/>
          <w:noProof/>
          <w:spacing w:val="-3"/>
          <w:szCs w:val="24"/>
        </w:rPr>
      </w:pPr>
      <w:r w:rsidRPr="00AC398E">
        <w:rPr>
          <w:rFonts w:ascii="Arial" w:hAnsi="Arial" w:cs="Arial"/>
          <w:noProof/>
          <w:spacing w:val="-3"/>
          <w:szCs w:val="24"/>
        </w:rPr>
        <w:t xml:space="preserve">Biodiversity and Conservation: Promote the conservation and sustainable use of natural resources to contribute to economic growth and poverty alleviation. </w:t>
      </w:r>
    </w:p>
    <w:p w14:paraId="7AA04D50" w14:textId="1BCF6A8D" w:rsidR="0076454E" w:rsidRPr="00AC398E" w:rsidRDefault="0076454E" w:rsidP="00AC398E">
      <w:pPr>
        <w:pStyle w:val="ListParagraph"/>
        <w:numPr>
          <w:ilvl w:val="0"/>
          <w:numId w:val="11"/>
        </w:numPr>
        <w:rPr>
          <w:rFonts w:ascii="Arial" w:hAnsi="Arial" w:cs="Arial"/>
          <w:noProof/>
          <w:spacing w:val="-3"/>
          <w:szCs w:val="24"/>
        </w:rPr>
      </w:pPr>
      <w:r w:rsidRPr="00AC398E">
        <w:rPr>
          <w:rFonts w:ascii="Arial" w:hAnsi="Arial" w:cs="Arial"/>
          <w:noProof/>
          <w:spacing w:val="-3"/>
          <w:szCs w:val="24"/>
        </w:rPr>
        <w:t>Environmental Sector Programmes and Projects: Implement environmental sector projects and assist in job creation.</w:t>
      </w:r>
    </w:p>
    <w:p w14:paraId="72C302C6" w14:textId="77777777" w:rsidR="002B5EE8" w:rsidRPr="002965EC" w:rsidRDefault="002B5EE8" w:rsidP="006308AD">
      <w:pPr>
        <w:rPr>
          <w:rFonts w:ascii="Arial" w:hAnsi="Arial" w:cs="Arial"/>
          <w:noProof/>
          <w:spacing w:val="-3"/>
          <w:szCs w:val="24"/>
        </w:rPr>
      </w:pPr>
      <w:r w:rsidRPr="002965EC">
        <w:rPr>
          <w:rFonts w:ascii="Arial" w:hAnsi="Arial" w:cs="Arial"/>
          <w:noProof/>
          <w:spacing w:val="-3"/>
          <w:szCs w:val="24"/>
        </w:rPr>
        <w:t xml:space="preserve">In CEDAW, Article 14 recognises the right to enjoy adequate living conditions including access to adequate sanitation and water. The African Charter on Human and People’s Rights, article 24 also asserts a right to satisfactory environment favourable to development. Within this framework, women have been increasingly recognised as being the most vulnerable to and affected by climate change, enviornmental changes, drought and natural disasters. </w:t>
      </w:r>
    </w:p>
    <w:p w14:paraId="3E4E6AEE" w14:textId="77777777" w:rsidR="006308AD" w:rsidRPr="002965EC" w:rsidRDefault="006308AD" w:rsidP="006308AD">
      <w:pPr>
        <w:rPr>
          <w:rFonts w:ascii="Arial" w:hAnsi="Arial" w:cs="Arial"/>
          <w:noProof/>
          <w:spacing w:val="-3"/>
          <w:szCs w:val="24"/>
        </w:rPr>
      </w:pPr>
      <w:r w:rsidRPr="002965EC">
        <w:rPr>
          <w:rFonts w:ascii="Arial" w:hAnsi="Arial" w:cs="Arial"/>
          <w:noProof/>
          <w:spacing w:val="-3"/>
          <w:szCs w:val="24"/>
        </w:rPr>
        <w:t>The right to access adequate clean drinking water is provided for in S27 (1)(b) of the Constitution. Article 14(2)(h) of CEDAW and Section 2 of the Water Services Act, No 108 of 1997 also provide for this right. The right to water is intrinsically linked to land rights. Thus, control, access to and quality of water inequitable resides with those enjoying riparian (ownership alongside a river) rights and land owenership. This means that rural women, who in the main are not land owners in their own right, and whose gender labour of division is to ensure that water is provided to the household, have to travel distances to fetch this water, burdened with heavy loads. This bears negatively on women’s health as well as decreases time available to women to use in other beneficial ways. Another significant factor is that it is mainly elderly women in rural areas that find themselves in this situation, and young girls whose education is either disrupted as they are not in schools or that they have to perform this task after school itself. It is also quite freqently that this practice results in young girls and women experiencing gender based violence esepcially rape when traveling to fetch water.</w:t>
      </w:r>
    </w:p>
    <w:p w14:paraId="6168EFD2" w14:textId="77777777" w:rsidR="00760298" w:rsidRPr="002965EC" w:rsidRDefault="006308AD" w:rsidP="00CD2476">
      <w:pPr>
        <w:rPr>
          <w:rFonts w:ascii="Arial" w:hAnsi="Arial" w:cs="Arial"/>
          <w:noProof/>
          <w:spacing w:val="-3"/>
          <w:szCs w:val="24"/>
        </w:rPr>
      </w:pPr>
      <w:r w:rsidRPr="002965EC">
        <w:rPr>
          <w:rFonts w:ascii="Arial" w:hAnsi="Arial" w:cs="Arial"/>
          <w:noProof/>
          <w:spacing w:val="-3"/>
          <w:szCs w:val="24"/>
        </w:rPr>
        <w:t>Inadequate water supply also has implications in terms of menstrual health and hygiene for females.</w:t>
      </w:r>
    </w:p>
    <w:p w14:paraId="11C53072" w14:textId="77777777" w:rsidR="00CE54DB" w:rsidRDefault="00CE54DB" w:rsidP="00CD2476">
      <w:pPr>
        <w:rPr>
          <w:rFonts w:ascii="Arial" w:hAnsi="Arial" w:cs="Arial"/>
          <w:noProof/>
          <w:spacing w:val="-3"/>
          <w:szCs w:val="24"/>
        </w:rPr>
      </w:pPr>
    </w:p>
    <w:p w14:paraId="54E04122" w14:textId="77777777" w:rsidR="00F13E5B" w:rsidRPr="002965EC" w:rsidRDefault="00F13E5B" w:rsidP="00CD2476">
      <w:pPr>
        <w:rPr>
          <w:rFonts w:ascii="Arial" w:hAnsi="Arial" w:cs="Arial"/>
          <w:noProof/>
          <w:spacing w:val="-3"/>
          <w:szCs w:val="24"/>
        </w:rPr>
      </w:pPr>
    </w:p>
    <w:p w14:paraId="3A2F8646" w14:textId="77777777" w:rsidR="00982D3D" w:rsidRPr="002965EC" w:rsidRDefault="00462DF1" w:rsidP="000034F0">
      <w:pPr>
        <w:pStyle w:val="Heading1"/>
        <w:jc w:val="left"/>
        <w:rPr>
          <w:rFonts w:ascii="Arial" w:hAnsi="Arial" w:cs="Arial"/>
        </w:rPr>
      </w:pPr>
      <w:bookmarkStart w:id="18" w:name="_Toc2094122"/>
      <w:r w:rsidRPr="002965EC">
        <w:rPr>
          <w:rFonts w:ascii="Arial" w:hAnsi="Arial" w:cs="Arial"/>
        </w:rPr>
        <w:lastRenderedPageBreak/>
        <w:t>INTERNATIONAL, REGIONAL, SUB-REGIONAL AND NATIONAL PREPARATIONS</w:t>
      </w:r>
      <w:bookmarkEnd w:id="18"/>
      <w:r w:rsidRPr="002965EC">
        <w:rPr>
          <w:rFonts w:ascii="Arial" w:hAnsi="Arial" w:cs="Arial"/>
        </w:rPr>
        <w:t xml:space="preserve"> </w:t>
      </w:r>
    </w:p>
    <w:p w14:paraId="4C3F0BDD" w14:textId="77777777" w:rsidR="00B914F0" w:rsidRPr="002965EC" w:rsidRDefault="00B914F0" w:rsidP="002750B1">
      <w:pPr>
        <w:pStyle w:val="Default"/>
        <w:jc w:val="both"/>
        <w:rPr>
          <w:rFonts w:ascii="Arial" w:hAnsi="Arial" w:cs="Arial"/>
        </w:rPr>
      </w:pPr>
    </w:p>
    <w:p w14:paraId="29B6EE5C" w14:textId="77777777" w:rsidR="00682CEE" w:rsidRPr="002965EC" w:rsidRDefault="00682CEE" w:rsidP="00BA63AD">
      <w:pPr>
        <w:pStyle w:val="Heading2"/>
        <w:rPr>
          <w:rFonts w:ascii="Arial" w:hAnsi="Arial" w:cs="Arial"/>
        </w:rPr>
      </w:pPr>
      <w:bookmarkStart w:id="19" w:name="_Toc2094123"/>
      <w:r w:rsidRPr="002965EC">
        <w:rPr>
          <w:rFonts w:ascii="Arial" w:hAnsi="Arial" w:cs="Arial"/>
        </w:rPr>
        <w:t>International Level</w:t>
      </w:r>
      <w:bookmarkEnd w:id="19"/>
    </w:p>
    <w:p w14:paraId="69E3076D" w14:textId="77777777" w:rsidR="00682CEE" w:rsidRPr="002965EC" w:rsidRDefault="00682CEE" w:rsidP="00682CEE">
      <w:pPr>
        <w:pStyle w:val="Default"/>
        <w:jc w:val="both"/>
        <w:rPr>
          <w:rFonts w:ascii="Arial" w:hAnsi="Arial" w:cs="Arial"/>
        </w:rPr>
      </w:pPr>
    </w:p>
    <w:p w14:paraId="45A0CFCB" w14:textId="77777777" w:rsidR="00682CEE" w:rsidRPr="002965EC" w:rsidRDefault="00682CEE" w:rsidP="00682CEE">
      <w:pPr>
        <w:pStyle w:val="Default"/>
        <w:jc w:val="both"/>
        <w:rPr>
          <w:rFonts w:ascii="Arial" w:hAnsi="Arial" w:cs="Arial"/>
        </w:rPr>
      </w:pPr>
      <w:r w:rsidRPr="002965EC">
        <w:rPr>
          <w:rFonts w:ascii="Arial" w:hAnsi="Arial" w:cs="Arial"/>
        </w:rPr>
        <w:t>At the international level, during the 62</w:t>
      </w:r>
      <w:r w:rsidRPr="002965EC">
        <w:rPr>
          <w:rFonts w:ascii="Arial" w:hAnsi="Arial" w:cs="Arial"/>
          <w:vertAlign w:val="superscript"/>
        </w:rPr>
        <w:t>nd</w:t>
      </w:r>
      <w:r w:rsidRPr="002965EC">
        <w:rPr>
          <w:rFonts w:ascii="Arial" w:hAnsi="Arial" w:cs="Arial"/>
        </w:rPr>
        <w:t xml:space="preserve"> Session of the UNCSW held in March 2018, the Commission held a high-level experts panel discussion on the theme for the 63</w:t>
      </w:r>
      <w:r w:rsidRPr="002965EC">
        <w:rPr>
          <w:rFonts w:ascii="Arial" w:hAnsi="Arial" w:cs="Arial"/>
          <w:vertAlign w:val="superscript"/>
        </w:rPr>
        <w:t>rd</w:t>
      </w:r>
      <w:r w:rsidRPr="002965EC">
        <w:rPr>
          <w:rFonts w:ascii="Arial" w:hAnsi="Arial" w:cs="Arial"/>
        </w:rPr>
        <w:t xml:space="preserve"> Session.  </w:t>
      </w:r>
    </w:p>
    <w:p w14:paraId="45506780" w14:textId="77777777" w:rsidR="00682CEE" w:rsidRPr="002965EC" w:rsidRDefault="00682CEE" w:rsidP="00682CEE">
      <w:pPr>
        <w:pStyle w:val="Default"/>
        <w:jc w:val="both"/>
        <w:rPr>
          <w:rFonts w:ascii="Arial" w:hAnsi="Arial" w:cs="Arial"/>
        </w:rPr>
      </w:pPr>
    </w:p>
    <w:p w14:paraId="389F81A7" w14:textId="77777777" w:rsidR="00682CEE" w:rsidRPr="002965EC" w:rsidRDefault="00682CEE" w:rsidP="00682CEE">
      <w:pPr>
        <w:pStyle w:val="Default"/>
        <w:jc w:val="both"/>
        <w:rPr>
          <w:rFonts w:ascii="Arial" w:hAnsi="Arial" w:cs="Arial"/>
        </w:rPr>
      </w:pPr>
      <w:r w:rsidRPr="002965EC">
        <w:rPr>
          <w:rFonts w:ascii="Arial" w:hAnsi="Arial" w:cs="Arial"/>
        </w:rPr>
        <w:t xml:space="preserve">At the global level in pre-CSW63 preparations, UN </w:t>
      </w:r>
      <w:proofErr w:type="gramStart"/>
      <w:r w:rsidRPr="002965EC">
        <w:rPr>
          <w:rFonts w:ascii="Arial" w:hAnsi="Arial" w:cs="Arial"/>
        </w:rPr>
        <w:t>Women,</w:t>
      </w:r>
      <w:proofErr w:type="gramEnd"/>
      <w:r w:rsidRPr="002965EC">
        <w:rPr>
          <w:rFonts w:ascii="Arial" w:hAnsi="Arial" w:cs="Arial"/>
        </w:rPr>
        <w:t xml:space="preserve"> convened an expert group meeting (EGM) on “13-15 September, 2018</w:t>
      </w:r>
      <w:r w:rsidR="00172138" w:rsidRPr="002965EC">
        <w:rPr>
          <w:rFonts w:ascii="Arial" w:hAnsi="Arial" w:cs="Arial"/>
        </w:rPr>
        <w:t>.</w:t>
      </w:r>
      <w:r w:rsidRPr="002965EC">
        <w:rPr>
          <w:rFonts w:ascii="Arial" w:hAnsi="Arial" w:cs="Arial"/>
        </w:rPr>
        <w:t xml:space="preserve"> The findings and recommendations of the EGM, as outlined in its report, have been incorporated into the discussion throughout this paper. </w:t>
      </w:r>
    </w:p>
    <w:p w14:paraId="5A3DA993" w14:textId="77777777" w:rsidR="00682CEE" w:rsidRPr="002965EC" w:rsidRDefault="00682CEE" w:rsidP="00682CEE">
      <w:pPr>
        <w:pStyle w:val="Default"/>
        <w:jc w:val="both"/>
        <w:rPr>
          <w:rFonts w:ascii="Arial" w:hAnsi="Arial" w:cs="Arial"/>
        </w:rPr>
      </w:pPr>
    </w:p>
    <w:p w14:paraId="0A9F584D" w14:textId="77777777" w:rsidR="00682CEE" w:rsidRPr="002965EC" w:rsidRDefault="00682CEE" w:rsidP="00682CEE">
      <w:pPr>
        <w:spacing w:after="0" w:line="240" w:lineRule="auto"/>
        <w:rPr>
          <w:rFonts w:ascii="Arial" w:hAnsi="Arial" w:cs="Arial"/>
          <w:szCs w:val="24"/>
        </w:rPr>
      </w:pPr>
      <w:r w:rsidRPr="002965EC">
        <w:rPr>
          <w:rFonts w:ascii="Arial" w:hAnsi="Arial" w:cs="Arial"/>
          <w:szCs w:val="24"/>
        </w:rPr>
        <w:t xml:space="preserve">In 2018, UN Women also convened a Stakeholders Forum to engage a range of stakeholders in the preparations for CSW63. This was held in New York. </w:t>
      </w:r>
    </w:p>
    <w:p w14:paraId="1E0B4B08" w14:textId="77777777" w:rsidR="00682CEE" w:rsidRPr="002965EC" w:rsidRDefault="00682CEE" w:rsidP="00682CEE">
      <w:pPr>
        <w:pStyle w:val="Default"/>
        <w:rPr>
          <w:rFonts w:ascii="Arial" w:hAnsi="Arial" w:cs="Arial"/>
        </w:rPr>
      </w:pPr>
    </w:p>
    <w:p w14:paraId="324A2934" w14:textId="77777777" w:rsidR="00682CEE" w:rsidRPr="002965EC" w:rsidRDefault="00827862" w:rsidP="00BA63AD">
      <w:pPr>
        <w:pStyle w:val="Heading2"/>
        <w:rPr>
          <w:rFonts w:ascii="Arial" w:hAnsi="Arial" w:cs="Arial"/>
        </w:rPr>
      </w:pPr>
      <w:bookmarkStart w:id="20" w:name="_Toc2094124"/>
      <w:r w:rsidRPr="002965EC">
        <w:rPr>
          <w:rFonts w:ascii="Arial" w:hAnsi="Arial" w:cs="Arial"/>
        </w:rPr>
        <w:t>R</w:t>
      </w:r>
      <w:r w:rsidR="00682CEE" w:rsidRPr="002965EC">
        <w:rPr>
          <w:rFonts w:ascii="Arial" w:hAnsi="Arial" w:cs="Arial"/>
        </w:rPr>
        <w:t>egional Level</w:t>
      </w:r>
      <w:bookmarkEnd w:id="20"/>
    </w:p>
    <w:p w14:paraId="621B8BAD" w14:textId="77777777" w:rsidR="00682CEE" w:rsidRPr="002965EC" w:rsidRDefault="00682CEE" w:rsidP="00682CEE">
      <w:pPr>
        <w:pStyle w:val="Default"/>
        <w:rPr>
          <w:rFonts w:ascii="Arial" w:hAnsi="Arial" w:cs="Arial"/>
        </w:rPr>
      </w:pPr>
    </w:p>
    <w:p w14:paraId="55CA593E" w14:textId="77777777" w:rsidR="00861029" w:rsidRPr="002965EC" w:rsidRDefault="00682CEE" w:rsidP="00682CEE">
      <w:pPr>
        <w:pStyle w:val="Default"/>
        <w:jc w:val="both"/>
        <w:rPr>
          <w:rFonts w:ascii="Arial" w:hAnsi="Arial" w:cs="Arial"/>
        </w:rPr>
      </w:pPr>
      <w:r w:rsidRPr="002965EC">
        <w:rPr>
          <w:rFonts w:ascii="Arial" w:hAnsi="Arial" w:cs="Arial"/>
        </w:rPr>
        <w:t xml:space="preserve">The SADC Secretariat hosted a meeting of SADC </w:t>
      </w:r>
      <w:r w:rsidR="00861029" w:rsidRPr="002965EC">
        <w:rPr>
          <w:rFonts w:ascii="Arial" w:hAnsi="Arial" w:cs="Arial"/>
        </w:rPr>
        <w:t>officials and experts responsible</w:t>
      </w:r>
      <w:r w:rsidRPr="002965EC">
        <w:rPr>
          <w:rFonts w:ascii="Arial" w:hAnsi="Arial" w:cs="Arial"/>
        </w:rPr>
        <w:t xml:space="preserve"> for</w:t>
      </w:r>
      <w:r w:rsidR="00861029" w:rsidRPr="002965EC">
        <w:rPr>
          <w:rFonts w:ascii="Arial" w:hAnsi="Arial" w:cs="Arial"/>
        </w:rPr>
        <w:t xml:space="preserve"> Women and Gender Affairs on 2 February</w:t>
      </w:r>
      <w:r w:rsidRPr="002965EC">
        <w:rPr>
          <w:rFonts w:ascii="Arial" w:hAnsi="Arial" w:cs="Arial"/>
        </w:rPr>
        <w:t xml:space="preserve"> </w:t>
      </w:r>
      <w:r w:rsidR="00861029" w:rsidRPr="002965EC">
        <w:rPr>
          <w:rFonts w:ascii="Arial" w:hAnsi="Arial" w:cs="Arial"/>
        </w:rPr>
        <w:t xml:space="preserve">2019, </w:t>
      </w:r>
      <w:r w:rsidRPr="002965EC">
        <w:rPr>
          <w:rFonts w:ascii="Arial" w:hAnsi="Arial" w:cs="Arial"/>
        </w:rPr>
        <w:t>preceding the AU Ministerial meeting</w:t>
      </w:r>
      <w:r w:rsidR="00861029" w:rsidRPr="002965EC">
        <w:rPr>
          <w:rFonts w:ascii="Arial" w:hAnsi="Arial" w:cs="Arial"/>
        </w:rPr>
        <w:t xml:space="preserve"> on 5 and 6 February 2019</w:t>
      </w:r>
      <w:r w:rsidRPr="002965EC">
        <w:rPr>
          <w:rFonts w:ascii="Arial" w:hAnsi="Arial" w:cs="Arial"/>
        </w:rPr>
        <w:t xml:space="preserve">. The focus was to </w:t>
      </w:r>
      <w:r w:rsidR="00861029" w:rsidRPr="002965EC">
        <w:rPr>
          <w:rFonts w:ascii="Arial" w:hAnsi="Arial" w:cs="Arial"/>
        </w:rPr>
        <w:t xml:space="preserve">develop a common SADC and Africa common position ahead of CSW63. </w:t>
      </w:r>
    </w:p>
    <w:p w14:paraId="4ECE80DB" w14:textId="77777777" w:rsidR="00682CEE" w:rsidRPr="002965EC" w:rsidRDefault="00682CEE" w:rsidP="00682CEE">
      <w:pPr>
        <w:pStyle w:val="Default"/>
        <w:jc w:val="both"/>
        <w:rPr>
          <w:rFonts w:ascii="Arial" w:hAnsi="Arial" w:cs="Arial"/>
        </w:rPr>
      </w:pPr>
    </w:p>
    <w:p w14:paraId="63322986" w14:textId="77777777" w:rsidR="00682CEE" w:rsidRPr="002965EC" w:rsidRDefault="00682CEE" w:rsidP="00BA63AD">
      <w:pPr>
        <w:pStyle w:val="Heading2"/>
        <w:rPr>
          <w:rFonts w:ascii="Arial" w:hAnsi="Arial" w:cs="Arial"/>
        </w:rPr>
      </w:pPr>
      <w:bookmarkStart w:id="21" w:name="_Toc2094125"/>
      <w:r w:rsidRPr="002965EC">
        <w:rPr>
          <w:rStyle w:val="Heading2Char"/>
          <w:rFonts w:ascii="Arial" w:hAnsi="Arial" w:cs="Arial"/>
          <w:b/>
        </w:rPr>
        <w:t>National</w:t>
      </w:r>
      <w:r w:rsidR="00861029" w:rsidRPr="002965EC">
        <w:rPr>
          <w:rStyle w:val="Heading2Char"/>
          <w:rFonts w:ascii="Arial" w:hAnsi="Arial" w:cs="Arial"/>
          <w:b/>
        </w:rPr>
        <w:t xml:space="preserve"> Level</w:t>
      </w:r>
      <w:bookmarkEnd w:id="21"/>
    </w:p>
    <w:p w14:paraId="166FDCF6" w14:textId="77777777" w:rsidR="00682CEE" w:rsidRPr="002965EC" w:rsidRDefault="00682CEE" w:rsidP="00682CEE">
      <w:pPr>
        <w:pStyle w:val="Default"/>
        <w:rPr>
          <w:rFonts w:ascii="Arial" w:hAnsi="Arial" w:cs="Arial"/>
        </w:rPr>
      </w:pPr>
    </w:p>
    <w:p w14:paraId="5E0481C6" w14:textId="12EA2E1B" w:rsidR="00907BDF" w:rsidRPr="002965EC" w:rsidRDefault="00682CEE" w:rsidP="00D92090">
      <w:pPr>
        <w:pStyle w:val="Default"/>
        <w:jc w:val="both"/>
        <w:rPr>
          <w:rFonts w:ascii="Arial" w:hAnsi="Arial" w:cs="Arial"/>
        </w:rPr>
        <w:sectPr w:rsidR="00907BDF" w:rsidRPr="002965EC" w:rsidSect="00707CDC">
          <w:footerReference w:type="default" r:id="rId16"/>
          <w:type w:val="continuous"/>
          <w:pgSz w:w="12240" w:h="15840"/>
          <w:pgMar w:top="1440" w:right="1440" w:bottom="1440" w:left="1440" w:header="706" w:footer="706" w:gutter="0"/>
          <w:pgBorders w:offsetFrom="page">
            <w:top w:val="triple" w:sz="4" w:space="24" w:color="92D050"/>
            <w:left w:val="triple" w:sz="4" w:space="24" w:color="92D050"/>
            <w:bottom w:val="triple" w:sz="4" w:space="24" w:color="92D050"/>
            <w:right w:val="triple" w:sz="4" w:space="24" w:color="92D050"/>
          </w:pgBorders>
          <w:cols w:space="708"/>
        </w:sectPr>
      </w:pPr>
      <w:r w:rsidRPr="002965EC">
        <w:rPr>
          <w:rFonts w:ascii="Arial" w:hAnsi="Arial" w:cs="Arial"/>
        </w:rPr>
        <w:t xml:space="preserve">DOW, as the lead coordinating department for the country’s participation in the </w:t>
      </w:r>
      <w:proofErr w:type="gramStart"/>
      <w:r w:rsidRPr="002965EC">
        <w:rPr>
          <w:rFonts w:ascii="Arial" w:hAnsi="Arial" w:cs="Arial"/>
        </w:rPr>
        <w:t>63</w:t>
      </w:r>
      <w:r w:rsidRPr="002965EC">
        <w:rPr>
          <w:rFonts w:ascii="Arial" w:hAnsi="Arial" w:cs="Arial"/>
          <w:vertAlign w:val="superscript"/>
        </w:rPr>
        <w:t>rd</w:t>
      </w:r>
      <w:r w:rsidRPr="002965EC">
        <w:rPr>
          <w:rFonts w:ascii="Arial" w:hAnsi="Arial" w:cs="Arial"/>
        </w:rPr>
        <w:t xml:space="preserve">  Session</w:t>
      </w:r>
      <w:proofErr w:type="gramEnd"/>
      <w:r w:rsidRPr="002965EC">
        <w:rPr>
          <w:rFonts w:ascii="Arial" w:hAnsi="Arial" w:cs="Arial"/>
        </w:rPr>
        <w:t xml:space="preserve"> of UNCSW undertook national consultation on 15 February, 2019.</w:t>
      </w:r>
    </w:p>
    <w:p w14:paraId="6DF36158" w14:textId="77777777" w:rsidR="002D25BD" w:rsidRDefault="00861029" w:rsidP="00861029">
      <w:pPr>
        <w:pStyle w:val="Heading1"/>
        <w:rPr>
          <w:rFonts w:ascii="Arial" w:hAnsi="Arial" w:cs="Arial"/>
        </w:rPr>
      </w:pPr>
      <w:bookmarkStart w:id="22" w:name="_Toc2094126"/>
      <w:r w:rsidRPr="002965EC">
        <w:rPr>
          <w:rFonts w:ascii="Arial" w:hAnsi="Arial" w:cs="Arial"/>
        </w:rPr>
        <w:lastRenderedPageBreak/>
        <w:t>PROGRESS MADE</w:t>
      </w:r>
      <w:bookmarkEnd w:id="22"/>
      <w:r w:rsidRPr="002965EC">
        <w:rPr>
          <w:rFonts w:ascii="Arial" w:hAnsi="Arial" w:cs="Arial"/>
        </w:rPr>
        <w:t xml:space="preserve"> </w:t>
      </w:r>
    </w:p>
    <w:p w14:paraId="31B78E99" w14:textId="77777777" w:rsidR="00AC398E" w:rsidRPr="00AC398E" w:rsidRDefault="00AC398E" w:rsidP="00AC398E"/>
    <w:p w14:paraId="2CEA53B2" w14:textId="77777777" w:rsidR="008639EC" w:rsidRPr="002965EC" w:rsidRDefault="008639EC" w:rsidP="00827862">
      <w:pPr>
        <w:pStyle w:val="Heading2"/>
        <w:rPr>
          <w:rFonts w:ascii="Arial" w:hAnsi="Arial" w:cs="Arial"/>
        </w:rPr>
      </w:pPr>
      <w:bookmarkStart w:id="23" w:name="_Toc2094127"/>
      <w:r w:rsidRPr="002965EC">
        <w:rPr>
          <w:rFonts w:ascii="Arial" w:hAnsi="Arial" w:cs="Arial"/>
        </w:rPr>
        <w:t>Social protection systems for gender equality and the empowerment of women and girls</w:t>
      </w:r>
    </w:p>
    <w:bookmarkEnd w:id="23"/>
    <w:p w14:paraId="3499AEB4" w14:textId="77777777" w:rsidR="009C22E0" w:rsidRPr="002965EC" w:rsidRDefault="009C22E0" w:rsidP="00AA2A47">
      <w:pPr>
        <w:rPr>
          <w:rFonts w:ascii="Arial" w:hAnsi="Arial" w:cs="Arial"/>
        </w:rPr>
      </w:pPr>
    </w:p>
    <w:p w14:paraId="06CFFD78" w14:textId="77777777" w:rsidR="00DD367A" w:rsidRPr="002965EC" w:rsidRDefault="0043260D" w:rsidP="00DD367A">
      <w:pPr>
        <w:rPr>
          <w:rFonts w:ascii="Arial" w:hAnsi="Arial" w:cs="Arial"/>
          <w:b/>
          <w:i/>
        </w:rPr>
      </w:pPr>
      <w:r w:rsidRPr="002965EC">
        <w:rPr>
          <w:rFonts w:ascii="Arial" w:hAnsi="Arial" w:cs="Arial"/>
          <w:szCs w:val="24"/>
        </w:rPr>
        <w:t xml:space="preserve">The country faces persistent poverty that disproportionately affects Black-Africans, women, children 17 years and younger; people living in the rural areas, and those with little or no education. This is evidenced by Statistics South Africa (2017) report that over the years 2006 to 2015 the rate of poverty among women was 68.9% in 2006 and 57.2% in 2015 in comparison to men at 64.1% in 2006 and 53.7% in 2015.   Black African women are worst affected by poverty, with 41, 7% of females living below the lower-bound poverty line in 2015. Women face multi-dimensional poverty and the African woman is the face of poverty. The Implications of poverty is more severe for women given that they tend to bear the burden of caring for children and the elderly. In order to address the poverty challenges, </w:t>
      </w:r>
      <w:r w:rsidR="00DD367A" w:rsidRPr="002965EC">
        <w:rPr>
          <w:rFonts w:ascii="Arial" w:hAnsi="Arial" w:cs="Arial"/>
        </w:rPr>
        <w:t xml:space="preserve">social wages in South Africa are packaged in different targeted forms. These include free primary health care; no-fee paying schools; social grants, (such as old age pensions, and child support grants) </w:t>
      </w:r>
    </w:p>
    <w:p w14:paraId="743BA268" w14:textId="77777777" w:rsidR="00CA3BD5" w:rsidRPr="002965EC" w:rsidRDefault="0043260D" w:rsidP="00CA3BD5">
      <w:pPr>
        <w:rPr>
          <w:rFonts w:ascii="Arial" w:hAnsi="Arial" w:cs="Arial"/>
        </w:rPr>
      </w:pPr>
      <w:r w:rsidRPr="002965EC">
        <w:rPr>
          <w:rFonts w:ascii="Arial" w:hAnsi="Arial" w:cs="Arial"/>
          <w:szCs w:val="24"/>
        </w:rPr>
        <w:t xml:space="preserve">South Africa has made great strides in expanding the social safety net since 1994 with millions of South Africans benefiting from the different types of government-funded social grants. </w:t>
      </w:r>
      <w:r w:rsidR="00AA2A47" w:rsidRPr="002965EC">
        <w:rPr>
          <w:rFonts w:ascii="Arial" w:hAnsi="Arial" w:cs="Arial"/>
          <w:szCs w:val="24"/>
        </w:rPr>
        <w:t xml:space="preserve">Some of the basic rights gained over the past 25 years are that of maternity and paternity benefits (leave and pay); job security while on leave and family leave; right to freedom of association and participation in trade unions; no dismal on the grounds of pregnancy; disability or HIV/AIDS; and access to unemployment insurance, among others. </w:t>
      </w:r>
    </w:p>
    <w:p w14:paraId="2ED26A5E" w14:textId="77777777" w:rsidR="00D27CFB" w:rsidRPr="002965EC" w:rsidRDefault="00D27CFB" w:rsidP="00D27CFB">
      <w:pPr>
        <w:jc w:val="left"/>
        <w:rPr>
          <w:rFonts w:ascii="Arial" w:hAnsi="Arial" w:cs="Arial"/>
          <w:b/>
        </w:rPr>
      </w:pPr>
      <w:r w:rsidRPr="002965EC">
        <w:rPr>
          <w:rFonts w:ascii="Arial" w:hAnsi="Arial" w:cs="Arial"/>
          <w:b/>
        </w:rPr>
        <w:t>Social Grants</w:t>
      </w:r>
    </w:p>
    <w:p w14:paraId="594751EB" w14:textId="77777777" w:rsidR="00B832DB" w:rsidRPr="002965EC" w:rsidRDefault="00D64B15" w:rsidP="00861029">
      <w:pPr>
        <w:rPr>
          <w:rFonts w:ascii="Arial" w:hAnsi="Arial" w:cs="Arial"/>
        </w:rPr>
      </w:pPr>
      <w:r w:rsidRPr="002965EC">
        <w:rPr>
          <w:rFonts w:ascii="Arial" w:hAnsi="Arial" w:cs="Arial"/>
          <w:szCs w:val="24"/>
        </w:rPr>
        <w:t xml:space="preserve">South Africa’s social welfare system is fully funded by the South African government; and highly gender-responsive. South Africa’s social safety net consists of multiple conditional cash grants. This social protection network has expanded considerably since 2002 to date, and it is subjected to an annual increase. It includes the following cash payments: Child Support Grant, Old Age Pensions and Disability Grants, War Veteran’s Grants, Single Care Grant and Social Relief of Distress. This is the country’s society safety net that that is well-targeted at the poor households including child-headed households. </w:t>
      </w:r>
      <w:r w:rsidR="007D723C" w:rsidRPr="002965EC">
        <w:rPr>
          <w:rFonts w:ascii="Arial" w:hAnsi="Arial" w:cs="Arial"/>
        </w:rPr>
        <w:t xml:space="preserve">The level of social assistance spending in South Africa at present is extremely high and social grants in South Africa are therefore an important instrument of poverty alleviation.  For households above the household subsistence level, both the income and distribution effect are positive, indicating that state welfare transfers both </w:t>
      </w:r>
      <w:r w:rsidR="007D723C" w:rsidRPr="002965EC">
        <w:rPr>
          <w:rFonts w:ascii="Arial" w:hAnsi="Arial" w:cs="Arial"/>
        </w:rPr>
        <w:lastRenderedPageBreak/>
        <w:t>increase the income received by households and contribute to a more equal distribution of income amongst these households. The social security system in South Africa plays an important role in mitigating the impact of socio-economic challenges among female-headed households</w:t>
      </w:r>
      <w:r w:rsidR="007D723C" w:rsidRPr="002965EC">
        <w:rPr>
          <w:rFonts w:ascii="Arial" w:hAnsi="Arial" w:cs="Arial"/>
        </w:rPr>
        <w:footnoteReference w:id="6"/>
      </w:r>
      <w:r w:rsidR="007D723C" w:rsidRPr="002965EC">
        <w:rPr>
          <w:rFonts w:ascii="Arial" w:hAnsi="Arial" w:cs="Arial"/>
        </w:rPr>
        <w:t>.</w:t>
      </w:r>
      <w:r w:rsidR="00B832DB" w:rsidRPr="002965EC">
        <w:rPr>
          <w:rFonts w:ascii="Arial" w:hAnsi="Arial" w:cs="Arial"/>
        </w:rPr>
        <w:t>It served as a poverty measure and a protection measure to absent fathers in terms of child maintenance. It augments the pro-poor package of services offered to children from birth to the age of 18 years. It is a conditional cash transfer to the primary caregiver of children living in extreme poverty and thus serves to supplement rather to replace household income from employment. Moreover, households receiving social grants tend to live in communities eligible for access to other forms of social protection, including grants for public works in the form of extended public works and to boost agricultural development among resource-poor small farmers. South Africa’s Expanded Public Works Programme aims to create short term employment for the unskilled and at the same time create or improve existing infrastructure. The interface of the EPWP and ECD as a social sector programme is a public good that reflects the social protection and infrastructure of the nexus. There’s more social protection interventions that seeks to go beyond the income-based welfare benefits to those derived from various types of social protection in line with SDG 5 and inter-linking SDGs.</w:t>
      </w:r>
    </w:p>
    <w:p w14:paraId="201E7FF0" w14:textId="77777777" w:rsidR="00A36117" w:rsidRPr="002965EC" w:rsidRDefault="00B44DE9" w:rsidP="006E7058">
      <w:pPr>
        <w:rPr>
          <w:rFonts w:ascii="Arial" w:hAnsi="Arial" w:cs="Arial"/>
        </w:rPr>
      </w:pPr>
      <w:r w:rsidRPr="002965EC">
        <w:rPr>
          <w:rFonts w:ascii="Arial" w:hAnsi="Arial" w:cs="Arial"/>
        </w:rPr>
        <w:t xml:space="preserve">Social grants contribute towards food security and reducing poverty in the country. The </w:t>
      </w:r>
      <w:r w:rsidRPr="002965EC">
        <w:rPr>
          <w:rFonts w:ascii="Arial" w:hAnsi="Arial" w:cs="Arial"/>
          <w:b/>
        </w:rPr>
        <w:t xml:space="preserve">National Development Plan </w:t>
      </w:r>
      <w:r w:rsidRPr="002965EC">
        <w:rPr>
          <w:rFonts w:ascii="Arial" w:hAnsi="Arial" w:cs="Arial"/>
        </w:rPr>
        <w:t>recognizes that reducing the cost of living is essential for broadening economic participation and eliminating poverty. According to the WHO (2011), in the period from 1999 to 2003, approximately 2.6 million South Africans received social grants and by 2007 this f</w:t>
      </w:r>
      <w:r w:rsidR="009C22E0" w:rsidRPr="002965EC">
        <w:rPr>
          <w:rFonts w:ascii="Arial" w:hAnsi="Arial" w:cs="Arial"/>
        </w:rPr>
        <w:t xml:space="preserve">igure increased to 12 million. </w:t>
      </w:r>
      <w:r w:rsidRPr="002965EC">
        <w:rPr>
          <w:rFonts w:ascii="Arial" w:hAnsi="Arial" w:cs="Arial"/>
        </w:rPr>
        <w:t xml:space="preserve">By 2018, 17.5 million people received social assistance. In 2018, 29% of the South African population was in receipt of a social grant. </w:t>
      </w:r>
      <w:r w:rsidR="0091707D" w:rsidRPr="002965EC">
        <w:rPr>
          <w:rFonts w:ascii="Arial" w:hAnsi="Arial" w:cs="Arial"/>
        </w:rPr>
        <w:t xml:space="preserve">In 2017, 52.9% of social grants recipients were females </w:t>
      </w:r>
      <w:r w:rsidR="00CD7701" w:rsidRPr="002965EC">
        <w:rPr>
          <w:rFonts w:ascii="Arial" w:hAnsi="Arial" w:cs="Arial"/>
        </w:rPr>
        <w:t xml:space="preserve">with the highest proportion in Northern Cape (54.3%) and the lowest in Eastern Cape (51.2). This is depicted in the </w:t>
      </w:r>
      <w:r w:rsidR="00ED288E" w:rsidRPr="002965EC">
        <w:rPr>
          <w:rFonts w:ascii="Arial" w:hAnsi="Arial" w:cs="Arial"/>
        </w:rPr>
        <w:t xml:space="preserve">Table </w:t>
      </w:r>
      <w:r w:rsidR="007D56CB">
        <w:rPr>
          <w:rFonts w:ascii="Arial" w:hAnsi="Arial" w:cs="Arial"/>
        </w:rPr>
        <w:t>3</w:t>
      </w:r>
      <w:r w:rsidR="00ED288E" w:rsidRPr="002965EC">
        <w:rPr>
          <w:rFonts w:ascii="Arial" w:hAnsi="Arial" w:cs="Arial"/>
        </w:rPr>
        <w:t>.</w:t>
      </w:r>
      <w:r w:rsidR="00CD7701" w:rsidRPr="002965EC">
        <w:rPr>
          <w:rFonts w:ascii="Arial" w:hAnsi="Arial" w:cs="Arial"/>
        </w:rPr>
        <w:t xml:space="preserve">  </w:t>
      </w:r>
    </w:p>
    <w:p w14:paraId="4D1ECC50" w14:textId="77777777" w:rsidR="00ED288E" w:rsidRPr="002965EC" w:rsidRDefault="00ED288E" w:rsidP="00ED288E">
      <w:pPr>
        <w:autoSpaceDE w:val="0"/>
        <w:autoSpaceDN w:val="0"/>
        <w:adjustRightInd w:val="0"/>
        <w:spacing w:after="0"/>
        <w:rPr>
          <w:rFonts w:ascii="Arial" w:hAnsi="Arial" w:cs="Arial"/>
        </w:rPr>
      </w:pPr>
    </w:p>
    <w:p w14:paraId="319106C2" w14:textId="77777777" w:rsidR="00ED288E" w:rsidRPr="002965EC" w:rsidRDefault="00ED288E" w:rsidP="00ED288E">
      <w:pPr>
        <w:autoSpaceDE w:val="0"/>
        <w:autoSpaceDN w:val="0"/>
        <w:adjustRightInd w:val="0"/>
        <w:spacing w:after="0"/>
        <w:rPr>
          <w:rFonts w:ascii="Arial" w:hAnsi="Arial" w:cs="Arial"/>
        </w:rPr>
      </w:pPr>
    </w:p>
    <w:p w14:paraId="23BD1752" w14:textId="77777777" w:rsidR="00ED288E" w:rsidRPr="002965EC" w:rsidRDefault="00ED288E" w:rsidP="00ED288E">
      <w:pPr>
        <w:autoSpaceDE w:val="0"/>
        <w:autoSpaceDN w:val="0"/>
        <w:adjustRightInd w:val="0"/>
        <w:spacing w:after="0"/>
        <w:rPr>
          <w:rFonts w:ascii="Arial" w:hAnsi="Arial" w:cs="Arial"/>
        </w:rPr>
      </w:pPr>
    </w:p>
    <w:p w14:paraId="28346C46" w14:textId="77777777" w:rsidR="00ED288E" w:rsidRPr="002965EC" w:rsidRDefault="00ED288E" w:rsidP="00ED288E">
      <w:pPr>
        <w:autoSpaceDE w:val="0"/>
        <w:autoSpaceDN w:val="0"/>
        <w:adjustRightInd w:val="0"/>
        <w:spacing w:after="0"/>
        <w:rPr>
          <w:rFonts w:ascii="Arial" w:hAnsi="Arial" w:cs="Arial"/>
        </w:rPr>
      </w:pPr>
    </w:p>
    <w:p w14:paraId="7E2A77D7" w14:textId="77777777" w:rsidR="00ED288E" w:rsidRPr="002965EC" w:rsidRDefault="00ED288E" w:rsidP="00ED288E">
      <w:pPr>
        <w:autoSpaceDE w:val="0"/>
        <w:autoSpaceDN w:val="0"/>
        <w:adjustRightInd w:val="0"/>
        <w:spacing w:after="0"/>
        <w:rPr>
          <w:rFonts w:ascii="Arial" w:hAnsi="Arial" w:cs="Arial"/>
        </w:rPr>
      </w:pPr>
    </w:p>
    <w:p w14:paraId="3E447F12" w14:textId="77777777" w:rsidR="00ED288E" w:rsidRPr="002965EC" w:rsidRDefault="00ED288E" w:rsidP="00ED288E">
      <w:pPr>
        <w:autoSpaceDE w:val="0"/>
        <w:autoSpaceDN w:val="0"/>
        <w:adjustRightInd w:val="0"/>
        <w:spacing w:after="0"/>
        <w:rPr>
          <w:rFonts w:ascii="Arial" w:hAnsi="Arial" w:cs="Arial"/>
        </w:rPr>
      </w:pPr>
    </w:p>
    <w:p w14:paraId="64CBBB11" w14:textId="77777777" w:rsidR="00ED288E" w:rsidRPr="002965EC" w:rsidRDefault="00ED288E" w:rsidP="00ED288E">
      <w:pPr>
        <w:autoSpaceDE w:val="0"/>
        <w:autoSpaceDN w:val="0"/>
        <w:adjustRightInd w:val="0"/>
        <w:spacing w:after="0"/>
        <w:rPr>
          <w:rFonts w:ascii="Arial" w:hAnsi="Arial" w:cs="Arial"/>
        </w:rPr>
      </w:pPr>
    </w:p>
    <w:p w14:paraId="76D459BB" w14:textId="77777777" w:rsidR="00ED288E" w:rsidRPr="002965EC" w:rsidRDefault="00ED288E" w:rsidP="00ED288E">
      <w:pPr>
        <w:autoSpaceDE w:val="0"/>
        <w:autoSpaceDN w:val="0"/>
        <w:adjustRightInd w:val="0"/>
        <w:spacing w:after="0"/>
        <w:rPr>
          <w:rFonts w:ascii="Arial" w:hAnsi="Arial" w:cs="Arial"/>
        </w:rPr>
      </w:pPr>
    </w:p>
    <w:p w14:paraId="4B8363FA" w14:textId="77777777" w:rsidR="00ED288E" w:rsidRPr="002965EC" w:rsidRDefault="00ED288E" w:rsidP="00ED288E">
      <w:pPr>
        <w:autoSpaceDE w:val="0"/>
        <w:autoSpaceDN w:val="0"/>
        <w:adjustRightInd w:val="0"/>
        <w:spacing w:after="0"/>
        <w:rPr>
          <w:rFonts w:ascii="Arial" w:hAnsi="Arial" w:cs="Arial"/>
        </w:rPr>
      </w:pPr>
    </w:p>
    <w:p w14:paraId="3CF76B18" w14:textId="77777777" w:rsidR="00D92090" w:rsidRDefault="00D92090" w:rsidP="00B44DE9">
      <w:pPr>
        <w:autoSpaceDE w:val="0"/>
        <w:autoSpaceDN w:val="0"/>
        <w:adjustRightInd w:val="0"/>
        <w:spacing w:after="0"/>
        <w:rPr>
          <w:rFonts w:ascii="Arial" w:hAnsi="Arial" w:cs="Arial"/>
        </w:rPr>
      </w:pPr>
    </w:p>
    <w:p w14:paraId="6F8C6104" w14:textId="77777777" w:rsidR="00B44DE9" w:rsidRDefault="00ED288E" w:rsidP="00B44DE9">
      <w:pPr>
        <w:autoSpaceDE w:val="0"/>
        <w:autoSpaceDN w:val="0"/>
        <w:adjustRightInd w:val="0"/>
        <w:spacing w:after="0"/>
        <w:rPr>
          <w:rFonts w:ascii="Arial" w:hAnsi="Arial" w:cs="Arial"/>
          <w:b/>
        </w:rPr>
      </w:pPr>
      <w:r w:rsidRPr="002965EC">
        <w:rPr>
          <w:rFonts w:ascii="Arial" w:hAnsi="Arial" w:cs="Arial"/>
          <w:b/>
        </w:rPr>
        <w:lastRenderedPageBreak/>
        <w:t xml:space="preserve">Figure 1: Grant recipients by type of grant and year </w:t>
      </w:r>
    </w:p>
    <w:p w14:paraId="1A323A69" w14:textId="77777777" w:rsidR="000034F0" w:rsidRPr="002965EC" w:rsidRDefault="000034F0" w:rsidP="00B44DE9">
      <w:pPr>
        <w:autoSpaceDE w:val="0"/>
        <w:autoSpaceDN w:val="0"/>
        <w:adjustRightInd w:val="0"/>
        <w:spacing w:after="0"/>
        <w:rPr>
          <w:rFonts w:ascii="Arial" w:hAnsi="Arial" w:cs="Arial"/>
          <w:b/>
        </w:rPr>
      </w:pPr>
    </w:p>
    <w:p w14:paraId="7772B6BC" w14:textId="77777777" w:rsidR="009D7FE4" w:rsidRPr="002965EC" w:rsidRDefault="00B44DE9" w:rsidP="00CE3278">
      <w:pPr>
        <w:autoSpaceDE w:val="0"/>
        <w:autoSpaceDN w:val="0"/>
        <w:adjustRightInd w:val="0"/>
        <w:spacing w:after="0"/>
        <w:rPr>
          <w:rFonts w:ascii="Arial" w:hAnsi="Arial" w:cs="Arial"/>
          <w:b/>
        </w:rPr>
      </w:pPr>
      <w:r w:rsidRPr="002965EC">
        <w:rPr>
          <w:rFonts w:ascii="Arial" w:hAnsi="Arial" w:cs="Arial"/>
          <w:noProof/>
          <w:lang w:val="en-ZA" w:eastAsia="en-ZA"/>
        </w:rPr>
        <w:drawing>
          <wp:inline distT="0" distB="0" distL="0" distR="0" wp14:anchorId="1CBABAB9" wp14:editId="429A105E">
            <wp:extent cx="5905500" cy="4829175"/>
            <wp:effectExtent l="0" t="0" r="0" b="9525"/>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D933E0" w14:textId="77777777" w:rsidR="0065126C" w:rsidRPr="002965EC" w:rsidRDefault="005B13FB" w:rsidP="00CE3278">
      <w:pPr>
        <w:autoSpaceDE w:val="0"/>
        <w:autoSpaceDN w:val="0"/>
        <w:adjustRightInd w:val="0"/>
        <w:spacing w:after="0"/>
        <w:rPr>
          <w:rFonts w:ascii="Arial" w:hAnsi="Arial" w:cs="Arial"/>
        </w:rPr>
      </w:pPr>
      <w:r w:rsidRPr="002965EC">
        <w:rPr>
          <w:rFonts w:ascii="Arial" w:hAnsi="Arial" w:cs="Arial"/>
        </w:rPr>
        <w:t>Source: SOCPEN, Social Development</w:t>
      </w:r>
    </w:p>
    <w:p w14:paraId="55A7C94D" w14:textId="77777777" w:rsidR="0065126C" w:rsidRDefault="0065126C" w:rsidP="00CE3278">
      <w:pPr>
        <w:autoSpaceDE w:val="0"/>
        <w:autoSpaceDN w:val="0"/>
        <w:adjustRightInd w:val="0"/>
        <w:spacing w:after="0"/>
        <w:rPr>
          <w:rFonts w:ascii="Arial" w:hAnsi="Arial" w:cs="Arial"/>
        </w:rPr>
      </w:pPr>
    </w:p>
    <w:p w14:paraId="20E28044" w14:textId="77777777" w:rsidR="007D56CB" w:rsidRDefault="007D56CB" w:rsidP="00CE3278">
      <w:pPr>
        <w:autoSpaceDE w:val="0"/>
        <w:autoSpaceDN w:val="0"/>
        <w:adjustRightInd w:val="0"/>
        <w:spacing w:after="0"/>
        <w:rPr>
          <w:rFonts w:ascii="Arial" w:hAnsi="Arial" w:cs="Arial"/>
        </w:rPr>
      </w:pPr>
      <w:r>
        <w:rPr>
          <w:rFonts w:ascii="Arial" w:hAnsi="Arial" w:cs="Arial"/>
        </w:rPr>
        <w:t xml:space="preserve">The number of grant recipients by type of grant and sex is shown in Table 2.  The child support grant is by far the most accessed grant in the country, providing a significant safety net for poorer women in the country.  More women also access the old age grant, when compared to men.  Grants are a significant safety net to poor households in the country, particularly for women in these households.  </w:t>
      </w:r>
    </w:p>
    <w:p w14:paraId="7D03E549" w14:textId="77777777" w:rsidR="00432A25" w:rsidRDefault="00432A25" w:rsidP="00CE3278">
      <w:pPr>
        <w:autoSpaceDE w:val="0"/>
        <w:autoSpaceDN w:val="0"/>
        <w:adjustRightInd w:val="0"/>
        <w:spacing w:after="0"/>
        <w:rPr>
          <w:rFonts w:ascii="Arial" w:hAnsi="Arial" w:cs="Arial"/>
        </w:rPr>
      </w:pPr>
    </w:p>
    <w:p w14:paraId="198009E6" w14:textId="77777777" w:rsidR="00432A25" w:rsidRDefault="00432A25" w:rsidP="00CE3278">
      <w:pPr>
        <w:autoSpaceDE w:val="0"/>
        <w:autoSpaceDN w:val="0"/>
        <w:adjustRightInd w:val="0"/>
        <w:spacing w:after="0"/>
        <w:rPr>
          <w:rFonts w:ascii="Arial" w:hAnsi="Arial" w:cs="Arial"/>
        </w:rPr>
      </w:pPr>
    </w:p>
    <w:p w14:paraId="60087114" w14:textId="77777777" w:rsidR="00432A25" w:rsidRDefault="00432A25" w:rsidP="00CE3278">
      <w:pPr>
        <w:autoSpaceDE w:val="0"/>
        <w:autoSpaceDN w:val="0"/>
        <w:adjustRightInd w:val="0"/>
        <w:spacing w:after="0"/>
        <w:rPr>
          <w:rFonts w:ascii="Arial" w:hAnsi="Arial" w:cs="Arial"/>
        </w:rPr>
      </w:pPr>
    </w:p>
    <w:p w14:paraId="3EE6F2C5" w14:textId="77777777" w:rsidR="00432A25" w:rsidRDefault="00432A25" w:rsidP="00CE3278">
      <w:pPr>
        <w:autoSpaceDE w:val="0"/>
        <w:autoSpaceDN w:val="0"/>
        <w:adjustRightInd w:val="0"/>
        <w:spacing w:after="0"/>
        <w:rPr>
          <w:rFonts w:ascii="Arial" w:hAnsi="Arial" w:cs="Arial"/>
        </w:rPr>
      </w:pPr>
    </w:p>
    <w:p w14:paraId="3CFC35A0" w14:textId="77777777" w:rsidR="00432A25" w:rsidRDefault="00432A25" w:rsidP="00CE3278">
      <w:pPr>
        <w:autoSpaceDE w:val="0"/>
        <w:autoSpaceDN w:val="0"/>
        <w:adjustRightInd w:val="0"/>
        <w:spacing w:after="0"/>
        <w:rPr>
          <w:rFonts w:ascii="Arial" w:hAnsi="Arial" w:cs="Arial"/>
        </w:rPr>
      </w:pPr>
    </w:p>
    <w:p w14:paraId="2C5F7CC2" w14:textId="77777777" w:rsidR="00D00FBB" w:rsidRDefault="00D00FBB" w:rsidP="00CE3278">
      <w:pPr>
        <w:autoSpaceDE w:val="0"/>
        <w:autoSpaceDN w:val="0"/>
        <w:adjustRightInd w:val="0"/>
        <w:spacing w:after="0"/>
        <w:rPr>
          <w:rFonts w:ascii="Arial" w:hAnsi="Arial" w:cs="Arial"/>
        </w:rPr>
      </w:pPr>
    </w:p>
    <w:p w14:paraId="13F78EA9" w14:textId="77777777" w:rsidR="000034F0" w:rsidRPr="002965EC" w:rsidRDefault="000034F0" w:rsidP="00CE3278">
      <w:pPr>
        <w:autoSpaceDE w:val="0"/>
        <w:autoSpaceDN w:val="0"/>
        <w:adjustRightInd w:val="0"/>
        <w:spacing w:after="0"/>
        <w:rPr>
          <w:rFonts w:ascii="Arial" w:hAnsi="Arial" w:cs="Arial"/>
        </w:rPr>
      </w:pPr>
    </w:p>
    <w:p w14:paraId="6641DFF6" w14:textId="77777777" w:rsidR="00D00FBB" w:rsidRDefault="00D00FBB" w:rsidP="00D00FBB">
      <w:pPr>
        <w:autoSpaceDE w:val="0"/>
        <w:autoSpaceDN w:val="0"/>
        <w:adjustRightInd w:val="0"/>
        <w:spacing w:after="0"/>
        <w:rPr>
          <w:rFonts w:ascii="Arial" w:hAnsi="Arial" w:cs="Arial"/>
          <w:b/>
          <w:color w:val="000000" w:themeColor="text1"/>
          <w:u w:val="single"/>
        </w:rPr>
      </w:pPr>
      <w:r w:rsidRPr="002965EC">
        <w:rPr>
          <w:rFonts w:ascii="Arial" w:hAnsi="Arial" w:cs="Arial"/>
          <w:b/>
          <w:color w:val="000000" w:themeColor="text1"/>
          <w:u w:val="single"/>
        </w:rPr>
        <w:lastRenderedPageBreak/>
        <w:t xml:space="preserve">Table 2 Number of grant recipients by </w:t>
      </w:r>
      <w:r>
        <w:rPr>
          <w:rFonts w:ascii="Arial" w:hAnsi="Arial" w:cs="Arial"/>
          <w:b/>
          <w:color w:val="000000" w:themeColor="text1"/>
          <w:u w:val="single"/>
        </w:rPr>
        <w:t xml:space="preserve">type of grant </w:t>
      </w:r>
      <w:r w:rsidRPr="002965EC">
        <w:rPr>
          <w:rFonts w:ascii="Arial" w:hAnsi="Arial" w:cs="Arial"/>
          <w:b/>
          <w:color w:val="000000" w:themeColor="text1"/>
          <w:u w:val="single"/>
        </w:rPr>
        <w:t xml:space="preserve">and sex </w:t>
      </w:r>
    </w:p>
    <w:p w14:paraId="1A79351B" w14:textId="77777777" w:rsidR="00432A25" w:rsidRPr="002965EC" w:rsidRDefault="00432A25" w:rsidP="00D00FBB">
      <w:pPr>
        <w:autoSpaceDE w:val="0"/>
        <w:autoSpaceDN w:val="0"/>
        <w:adjustRightInd w:val="0"/>
        <w:spacing w:after="0"/>
        <w:rPr>
          <w:rFonts w:ascii="Arial" w:hAnsi="Arial" w:cs="Arial"/>
          <w:b/>
          <w:color w:val="000000" w:themeColor="text1"/>
          <w:u w:val="single"/>
        </w:rPr>
      </w:pPr>
    </w:p>
    <w:tbl>
      <w:tblPr>
        <w:tblStyle w:val="GridTable4Accent1"/>
        <w:tblW w:w="8000" w:type="dxa"/>
        <w:tblLook w:val="04A0" w:firstRow="1" w:lastRow="0" w:firstColumn="1" w:lastColumn="0" w:noHBand="0" w:noVBand="1"/>
      </w:tblPr>
      <w:tblGrid>
        <w:gridCol w:w="3100"/>
        <w:gridCol w:w="1620"/>
        <w:gridCol w:w="1640"/>
        <w:gridCol w:w="1640"/>
      </w:tblGrid>
      <w:tr w:rsidR="00D00FBB" w:rsidRPr="00D00FBB" w14:paraId="69056366" w14:textId="77777777" w:rsidTr="007D56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0" w:type="dxa"/>
            <w:noWrap/>
            <w:hideMark/>
          </w:tcPr>
          <w:p w14:paraId="0839D722" w14:textId="77777777" w:rsidR="00D00FBB" w:rsidRPr="00D00FBB" w:rsidRDefault="00D00FBB" w:rsidP="00D00FBB">
            <w:pPr>
              <w:jc w:val="left"/>
              <w:rPr>
                <w:rFonts w:ascii="Calibri" w:eastAsia="Times New Roman" w:hAnsi="Calibri" w:cs="Times New Roman"/>
                <w:b w:val="0"/>
                <w:bCs w:val="0"/>
                <w:color w:val="000000"/>
                <w:sz w:val="22"/>
                <w:lang w:val="en-ZA" w:eastAsia="en-ZA"/>
              </w:rPr>
            </w:pPr>
            <w:r w:rsidRPr="00D00FBB">
              <w:rPr>
                <w:rFonts w:ascii="Calibri" w:eastAsia="Times New Roman" w:hAnsi="Calibri" w:cs="Times New Roman"/>
                <w:b w:val="0"/>
                <w:bCs w:val="0"/>
                <w:color w:val="000000"/>
                <w:sz w:val="22"/>
                <w:lang w:val="en-ZA" w:eastAsia="en-ZA"/>
              </w:rPr>
              <w:t>GRANT TYPE</w:t>
            </w:r>
          </w:p>
        </w:tc>
        <w:tc>
          <w:tcPr>
            <w:tcW w:w="1620" w:type="dxa"/>
            <w:noWrap/>
            <w:hideMark/>
          </w:tcPr>
          <w:p w14:paraId="2DFEE302" w14:textId="77777777" w:rsidR="00D00FBB" w:rsidRPr="00D00FBB" w:rsidRDefault="00D00FBB" w:rsidP="00D00FBB">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2"/>
                <w:lang w:val="en-ZA" w:eastAsia="en-ZA"/>
              </w:rPr>
            </w:pPr>
            <w:r w:rsidRPr="00D00FBB">
              <w:rPr>
                <w:rFonts w:ascii="Calibri" w:eastAsia="Times New Roman" w:hAnsi="Calibri" w:cs="Times New Roman"/>
                <w:b w:val="0"/>
                <w:bCs w:val="0"/>
                <w:color w:val="000000"/>
                <w:sz w:val="22"/>
                <w:lang w:val="en-ZA" w:eastAsia="en-ZA"/>
              </w:rPr>
              <w:t>FEMALE</w:t>
            </w:r>
          </w:p>
        </w:tc>
        <w:tc>
          <w:tcPr>
            <w:tcW w:w="1640" w:type="dxa"/>
            <w:noWrap/>
            <w:hideMark/>
          </w:tcPr>
          <w:p w14:paraId="26578B49" w14:textId="77777777" w:rsidR="00D00FBB" w:rsidRPr="00D00FBB" w:rsidRDefault="00D00FBB" w:rsidP="00D00FBB">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2"/>
                <w:lang w:val="en-ZA" w:eastAsia="en-ZA"/>
              </w:rPr>
            </w:pPr>
            <w:r w:rsidRPr="00D00FBB">
              <w:rPr>
                <w:rFonts w:ascii="Calibri" w:eastAsia="Times New Roman" w:hAnsi="Calibri" w:cs="Times New Roman"/>
                <w:b w:val="0"/>
                <w:bCs w:val="0"/>
                <w:color w:val="000000"/>
                <w:sz w:val="22"/>
                <w:lang w:val="en-ZA" w:eastAsia="en-ZA"/>
              </w:rPr>
              <w:t>MALE</w:t>
            </w:r>
          </w:p>
        </w:tc>
        <w:tc>
          <w:tcPr>
            <w:tcW w:w="1640" w:type="dxa"/>
            <w:noWrap/>
            <w:hideMark/>
          </w:tcPr>
          <w:p w14:paraId="078734E8" w14:textId="77777777" w:rsidR="00D00FBB" w:rsidRPr="00D00FBB" w:rsidRDefault="00D00FBB" w:rsidP="00D00FBB">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2"/>
                <w:lang w:val="en-ZA" w:eastAsia="en-ZA"/>
              </w:rPr>
            </w:pPr>
            <w:r w:rsidRPr="00D00FBB">
              <w:rPr>
                <w:rFonts w:ascii="Calibri" w:eastAsia="Times New Roman" w:hAnsi="Calibri" w:cs="Times New Roman"/>
                <w:b w:val="0"/>
                <w:bCs w:val="0"/>
                <w:color w:val="000000"/>
                <w:sz w:val="22"/>
                <w:lang w:val="en-ZA" w:eastAsia="en-ZA"/>
              </w:rPr>
              <w:t>TOTAL</w:t>
            </w:r>
          </w:p>
        </w:tc>
      </w:tr>
      <w:tr w:rsidR="00D00FBB" w:rsidRPr="00D00FBB" w14:paraId="7F54C7CD" w14:textId="77777777" w:rsidTr="007D56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0" w:type="dxa"/>
            <w:noWrap/>
            <w:hideMark/>
          </w:tcPr>
          <w:p w14:paraId="0EC325F6" w14:textId="77777777" w:rsidR="00D00FBB" w:rsidRPr="00D00FBB" w:rsidRDefault="00D00FBB" w:rsidP="00D00FBB">
            <w:pPr>
              <w:jc w:val="left"/>
              <w:rPr>
                <w:rFonts w:ascii="Calibri" w:eastAsia="Times New Roman" w:hAnsi="Calibri" w:cs="Times New Roman"/>
                <w:color w:val="000000"/>
                <w:sz w:val="22"/>
                <w:lang w:val="en-ZA" w:eastAsia="en-ZA"/>
              </w:rPr>
            </w:pPr>
            <w:r w:rsidRPr="00D00FBB">
              <w:rPr>
                <w:rFonts w:ascii="Calibri" w:eastAsia="Times New Roman" w:hAnsi="Calibri" w:cs="Times New Roman"/>
                <w:color w:val="000000"/>
                <w:sz w:val="22"/>
                <w:lang w:val="en-ZA" w:eastAsia="en-ZA"/>
              </w:rPr>
              <w:t>CARE DEPENDENCY GRANT</w:t>
            </w:r>
          </w:p>
        </w:tc>
        <w:tc>
          <w:tcPr>
            <w:tcW w:w="1620" w:type="dxa"/>
            <w:hideMark/>
          </w:tcPr>
          <w:p w14:paraId="6F94030A" w14:textId="77777777" w:rsidR="00D00FBB" w:rsidRPr="00D00FBB" w:rsidRDefault="00D00FBB" w:rsidP="00D00FB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n-ZA" w:eastAsia="en-ZA"/>
              </w:rPr>
            </w:pPr>
            <w:r w:rsidRPr="00D00FBB">
              <w:rPr>
                <w:rFonts w:ascii="Arial" w:eastAsia="Times New Roman" w:hAnsi="Arial" w:cs="Arial"/>
                <w:b/>
                <w:bCs/>
                <w:color w:val="000000"/>
                <w:sz w:val="16"/>
                <w:szCs w:val="16"/>
                <w:lang w:val="en-ZA" w:eastAsia="en-ZA"/>
              </w:rPr>
              <w:t>139 844</w:t>
            </w:r>
          </w:p>
        </w:tc>
        <w:tc>
          <w:tcPr>
            <w:tcW w:w="1640" w:type="dxa"/>
            <w:hideMark/>
          </w:tcPr>
          <w:p w14:paraId="1C458B13" w14:textId="77777777" w:rsidR="00D00FBB" w:rsidRPr="00D00FBB" w:rsidRDefault="00D00FBB" w:rsidP="00D00FB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n-ZA" w:eastAsia="en-ZA"/>
              </w:rPr>
            </w:pPr>
            <w:r w:rsidRPr="00D00FBB">
              <w:rPr>
                <w:rFonts w:ascii="Arial" w:eastAsia="Times New Roman" w:hAnsi="Arial" w:cs="Arial"/>
                <w:b/>
                <w:bCs/>
                <w:color w:val="000000"/>
                <w:sz w:val="16"/>
                <w:szCs w:val="16"/>
                <w:lang w:val="en-ZA" w:eastAsia="en-ZA"/>
              </w:rPr>
              <w:t>4 642</w:t>
            </w:r>
          </w:p>
        </w:tc>
        <w:tc>
          <w:tcPr>
            <w:tcW w:w="1640" w:type="dxa"/>
            <w:noWrap/>
            <w:hideMark/>
          </w:tcPr>
          <w:p w14:paraId="32F515DF" w14:textId="77777777" w:rsidR="00D00FBB" w:rsidRPr="00D00FBB" w:rsidRDefault="00D00FBB" w:rsidP="00D00F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val="en-ZA" w:eastAsia="en-ZA"/>
              </w:rPr>
            </w:pPr>
            <w:r w:rsidRPr="00D00FBB">
              <w:rPr>
                <w:rFonts w:ascii="Calibri" w:eastAsia="Times New Roman" w:hAnsi="Calibri" w:cs="Times New Roman"/>
                <w:color w:val="000000"/>
                <w:sz w:val="22"/>
                <w:lang w:val="en-ZA" w:eastAsia="en-ZA"/>
              </w:rPr>
              <w:t>144 486</w:t>
            </w:r>
          </w:p>
        </w:tc>
      </w:tr>
      <w:tr w:rsidR="00D00FBB" w:rsidRPr="00D00FBB" w14:paraId="3550CFF0" w14:textId="77777777" w:rsidTr="007D56CB">
        <w:trPr>
          <w:trHeight w:val="300"/>
        </w:trPr>
        <w:tc>
          <w:tcPr>
            <w:cnfStyle w:val="001000000000" w:firstRow="0" w:lastRow="0" w:firstColumn="1" w:lastColumn="0" w:oddVBand="0" w:evenVBand="0" w:oddHBand="0" w:evenHBand="0" w:firstRowFirstColumn="0" w:firstRowLastColumn="0" w:lastRowFirstColumn="0" w:lastRowLastColumn="0"/>
            <w:tcW w:w="3100" w:type="dxa"/>
            <w:noWrap/>
            <w:hideMark/>
          </w:tcPr>
          <w:p w14:paraId="728201B9" w14:textId="77777777" w:rsidR="00D00FBB" w:rsidRPr="00D00FBB" w:rsidRDefault="00D00FBB" w:rsidP="00D00FBB">
            <w:pPr>
              <w:jc w:val="left"/>
              <w:rPr>
                <w:rFonts w:ascii="Calibri" w:eastAsia="Times New Roman" w:hAnsi="Calibri" w:cs="Times New Roman"/>
                <w:color w:val="000000"/>
                <w:sz w:val="22"/>
                <w:lang w:val="en-ZA" w:eastAsia="en-ZA"/>
              </w:rPr>
            </w:pPr>
            <w:r w:rsidRPr="00D00FBB">
              <w:rPr>
                <w:rFonts w:ascii="Calibri" w:eastAsia="Times New Roman" w:hAnsi="Calibri" w:cs="Times New Roman"/>
                <w:color w:val="000000"/>
                <w:sz w:val="22"/>
                <w:lang w:val="en-ZA" w:eastAsia="en-ZA"/>
              </w:rPr>
              <w:t>CHILD SUPPORT GRANT</w:t>
            </w:r>
          </w:p>
        </w:tc>
        <w:tc>
          <w:tcPr>
            <w:tcW w:w="1620" w:type="dxa"/>
            <w:hideMark/>
          </w:tcPr>
          <w:p w14:paraId="008918F6" w14:textId="77777777" w:rsidR="00D00FBB" w:rsidRPr="00D00FBB" w:rsidRDefault="00D00FBB" w:rsidP="00D00FB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val="en-ZA" w:eastAsia="en-ZA"/>
              </w:rPr>
            </w:pPr>
            <w:r w:rsidRPr="00D00FBB">
              <w:rPr>
                <w:rFonts w:ascii="Arial" w:eastAsia="Times New Roman" w:hAnsi="Arial" w:cs="Arial"/>
                <w:b/>
                <w:bCs/>
                <w:color w:val="000000"/>
                <w:sz w:val="16"/>
                <w:szCs w:val="16"/>
                <w:lang w:val="en-ZA" w:eastAsia="en-ZA"/>
              </w:rPr>
              <w:t>6 729 564</w:t>
            </w:r>
          </w:p>
        </w:tc>
        <w:tc>
          <w:tcPr>
            <w:tcW w:w="1640" w:type="dxa"/>
            <w:hideMark/>
          </w:tcPr>
          <w:p w14:paraId="268F477F" w14:textId="77777777" w:rsidR="00D00FBB" w:rsidRPr="00D00FBB" w:rsidRDefault="00D00FBB" w:rsidP="00D00FB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val="en-ZA" w:eastAsia="en-ZA"/>
              </w:rPr>
            </w:pPr>
            <w:r w:rsidRPr="00D00FBB">
              <w:rPr>
                <w:rFonts w:ascii="Arial" w:eastAsia="Times New Roman" w:hAnsi="Arial" w:cs="Arial"/>
                <w:b/>
                <w:bCs/>
                <w:color w:val="000000"/>
                <w:sz w:val="16"/>
                <w:szCs w:val="16"/>
                <w:lang w:val="en-ZA" w:eastAsia="en-ZA"/>
              </w:rPr>
              <w:t>146 790</w:t>
            </w:r>
          </w:p>
        </w:tc>
        <w:tc>
          <w:tcPr>
            <w:tcW w:w="1640" w:type="dxa"/>
            <w:noWrap/>
            <w:hideMark/>
          </w:tcPr>
          <w:p w14:paraId="61B69A78" w14:textId="77777777" w:rsidR="00D00FBB" w:rsidRPr="00D00FBB" w:rsidRDefault="00D00FBB" w:rsidP="00D00F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ZA" w:eastAsia="en-ZA"/>
              </w:rPr>
            </w:pPr>
            <w:r w:rsidRPr="00D00FBB">
              <w:rPr>
                <w:rFonts w:ascii="Calibri" w:eastAsia="Times New Roman" w:hAnsi="Calibri" w:cs="Times New Roman"/>
                <w:color w:val="000000"/>
                <w:sz w:val="22"/>
                <w:lang w:val="en-ZA" w:eastAsia="en-ZA"/>
              </w:rPr>
              <w:t>6 876 354</w:t>
            </w:r>
          </w:p>
        </w:tc>
      </w:tr>
      <w:tr w:rsidR="00D00FBB" w:rsidRPr="00D00FBB" w14:paraId="52F99A39" w14:textId="77777777" w:rsidTr="007D56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0" w:type="dxa"/>
            <w:noWrap/>
            <w:hideMark/>
          </w:tcPr>
          <w:p w14:paraId="7846005A" w14:textId="77777777" w:rsidR="00D00FBB" w:rsidRPr="00D00FBB" w:rsidRDefault="00D00FBB" w:rsidP="00D00FBB">
            <w:pPr>
              <w:jc w:val="left"/>
              <w:rPr>
                <w:rFonts w:ascii="Calibri" w:eastAsia="Times New Roman" w:hAnsi="Calibri" w:cs="Times New Roman"/>
                <w:color w:val="000000"/>
                <w:sz w:val="22"/>
                <w:lang w:val="en-ZA" w:eastAsia="en-ZA"/>
              </w:rPr>
            </w:pPr>
            <w:r w:rsidRPr="00D00FBB">
              <w:rPr>
                <w:rFonts w:ascii="Calibri" w:eastAsia="Times New Roman" w:hAnsi="Calibri" w:cs="Times New Roman"/>
                <w:color w:val="000000"/>
                <w:sz w:val="22"/>
                <w:lang w:val="en-ZA" w:eastAsia="en-ZA"/>
              </w:rPr>
              <w:t>DISABILITY GRANT</w:t>
            </w:r>
          </w:p>
        </w:tc>
        <w:tc>
          <w:tcPr>
            <w:tcW w:w="1620" w:type="dxa"/>
            <w:hideMark/>
          </w:tcPr>
          <w:p w14:paraId="3088788E" w14:textId="77777777" w:rsidR="00D00FBB" w:rsidRPr="00D00FBB" w:rsidRDefault="00D00FBB" w:rsidP="00D00FB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n-ZA" w:eastAsia="en-ZA"/>
              </w:rPr>
            </w:pPr>
            <w:r w:rsidRPr="00D00FBB">
              <w:rPr>
                <w:rFonts w:ascii="Arial" w:eastAsia="Times New Roman" w:hAnsi="Arial" w:cs="Arial"/>
                <w:b/>
                <w:bCs/>
                <w:color w:val="000000"/>
                <w:sz w:val="16"/>
                <w:szCs w:val="16"/>
                <w:lang w:val="en-ZA" w:eastAsia="en-ZA"/>
              </w:rPr>
              <w:t>541 125</w:t>
            </w:r>
          </w:p>
        </w:tc>
        <w:tc>
          <w:tcPr>
            <w:tcW w:w="1640" w:type="dxa"/>
            <w:hideMark/>
          </w:tcPr>
          <w:p w14:paraId="7E859CCD" w14:textId="77777777" w:rsidR="00D00FBB" w:rsidRPr="00D00FBB" w:rsidRDefault="00D00FBB" w:rsidP="00D00FB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n-ZA" w:eastAsia="en-ZA"/>
              </w:rPr>
            </w:pPr>
            <w:r w:rsidRPr="00D00FBB">
              <w:rPr>
                <w:rFonts w:ascii="Arial" w:eastAsia="Times New Roman" w:hAnsi="Arial" w:cs="Arial"/>
                <w:b/>
                <w:bCs/>
                <w:color w:val="000000"/>
                <w:sz w:val="16"/>
                <w:szCs w:val="16"/>
                <w:lang w:val="en-ZA" w:eastAsia="en-ZA"/>
              </w:rPr>
              <w:t>515 462</w:t>
            </w:r>
          </w:p>
        </w:tc>
        <w:tc>
          <w:tcPr>
            <w:tcW w:w="1640" w:type="dxa"/>
            <w:noWrap/>
            <w:hideMark/>
          </w:tcPr>
          <w:p w14:paraId="66DD4DAC" w14:textId="77777777" w:rsidR="00D00FBB" w:rsidRPr="00D00FBB" w:rsidRDefault="00D00FBB" w:rsidP="00D00F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val="en-ZA" w:eastAsia="en-ZA"/>
              </w:rPr>
            </w:pPr>
            <w:r w:rsidRPr="00D00FBB">
              <w:rPr>
                <w:rFonts w:ascii="Calibri" w:eastAsia="Times New Roman" w:hAnsi="Calibri" w:cs="Times New Roman"/>
                <w:color w:val="000000"/>
                <w:sz w:val="22"/>
                <w:lang w:val="en-ZA" w:eastAsia="en-ZA"/>
              </w:rPr>
              <w:t>1 056 587</w:t>
            </w:r>
          </w:p>
        </w:tc>
      </w:tr>
      <w:tr w:rsidR="00D00FBB" w:rsidRPr="00D00FBB" w14:paraId="293CFDB9" w14:textId="77777777" w:rsidTr="007D56CB">
        <w:trPr>
          <w:trHeight w:val="300"/>
        </w:trPr>
        <w:tc>
          <w:tcPr>
            <w:cnfStyle w:val="001000000000" w:firstRow="0" w:lastRow="0" w:firstColumn="1" w:lastColumn="0" w:oddVBand="0" w:evenVBand="0" w:oddHBand="0" w:evenHBand="0" w:firstRowFirstColumn="0" w:firstRowLastColumn="0" w:lastRowFirstColumn="0" w:lastRowLastColumn="0"/>
            <w:tcW w:w="3100" w:type="dxa"/>
            <w:noWrap/>
            <w:hideMark/>
          </w:tcPr>
          <w:p w14:paraId="4C9E5546" w14:textId="77777777" w:rsidR="00D00FBB" w:rsidRPr="00D00FBB" w:rsidRDefault="00D00FBB" w:rsidP="00D00FBB">
            <w:pPr>
              <w:jc w:val="left"/>
              <w:rPr>
                <w:rFonts w:ascii="Calibri" w:eastAsia="Times New Roman" w:hAnsi="Calibri" w:cs="Times New Roman"/>
                <w:color w:val="000000"/>
                <w:sz w:val="22"/>
                <w:lang w:val="en-ZA" w:eastAsia="en-ZA"/>
              </w:rPr>
            </w:pPr>
            <w:r w:rsidRPr="00D00FBB">
              <w:rPr>
                <w:rFonts w:ascii="Calibri" w:eastAsia="Times New Roman" w:hAnsi="Calibri" w:cs="Times New Roman"/>
                <w:color w:val="000000"/>
                <w:sz w:val="22"/>
                <w:lang w:val="en-ZA" w:eastAsia="en-ZA"/>
              </w:rPr>
              <w:t>FOSTER CARE</w:t>
            </w:r>
          </w:p>
        </w:tc>
        <w:tc>
          <w:tcPr>
            <w:tcW w:w="1620" w:type="dxa"/>
            <w:hideMark/>
          </w:tcPr>
          <w:p w14:paraId="713A2CBA" w14:textId="77777777" w:rsidR="00D00FBB" w:rsidRPr="00D00FBB" w:rsidRDefault="00D00FBB" w:rsidP="00D00FB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val="en-ZA" w:eastAsia="en-ZA"/>
              </w:rPr>
            </w:pPr>
            <w:r w:rsidRPr="00D00FBB">
              <w:rPr>
                <w:rFonts w:ascii="Arial" w:eastAsia="Times New Roman" w:hAnsi="Arial" w:cs="Arial"/>
                <w:b/>
                <w:bCs/>
                <w:color w:val="000000"/>
                <w:sz w:val="16"/>
                <w:szCs w:val="16"/>
                <w:lang w:val="en-ZA" w:eastAsia="en-ZA"/>
              </w:rPr>
              <w:t>291 536</w:t>
            </w:r>
          </w:p>
        </w:tc>
        <w:tc>
          <w:tcPr>
            <w:tcW w:w="1640" w:type="dxa"/>
            <w:hideMark/>
          </w:tcPr>
          <w:p w14:paraId="5FD2D4A7" w14:textId="77777777" w:rsidR="00D00FBB" w:rsidRPr="00D00FBB" w:rsidRDefault="00D00FBB" w:rsidP="00D00FB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val="en-ZA" w:eastAsia="en-ZA"/>
              </w:rPr>
            </w:pPr>
            <w:r w:rsidRPr="00D00FBB">
              <w:rPr>
                <w:rFonts w:ascii="Arial" w:eastAsia="Times New Roman" w:hAnsi="Arial" w:cs="Arial"/>
                <w:b/>
                <w:bCs/>
                <w:color w:val="000000"/>
                <w:sz w:val="16"/>
                <w:szCs w:val="16"/>
                <w:lang w:val="en-ZA" w:eastAsia="en-ZA"/>
              </w:rPr>
              <w:t>18 851</w:t>
            </w:r>
          </w:p>
        </w:tc>
        <w:tc>
          <w:tcPr>
            <w:tcW w:w="1640" w:type="dxa"/>
            <w:noWrap/>
            <w:hideMark/>
          </w:tcPr>
          <w:p w14:paraId="3634F8E3" w14:textId="77777777" w:rsidR="00D00FBB" w:rsidRPr="00D00FBB" w:rsidRDefault="00D00FBB" w:rsidP="00D00F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ZA" w:eastAsia="en-ZA"/>
              </w:rPr>
            </w:pPr>
            <w:r w:rsidRPr="00D00FBB">
              <w:rPr>
                <w:rFonts w:ascii="Calibri" w:eastAsia="Times New Roman" w:hAnsi="Calibri" w:cs="Times New Roman"/>
                <w:color w:val="000000"/>
                <w:sz w:val="22"/>
                <w:lang w:val="en-ZA" w:eastAsia="en-ZA"/>
              </w:rPr>
              <w:t>310 387</w:t>
            </w:r>
          </w:p>
        </w:tc>
      </w:tr>
      <w:tr w:rsidR="00D00FBB" w:rsidRPr="00D00FBB" w14:paraId="063D22F5" w14:textId="77777777" w:rsidTr="007D56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0" w:type="dxa"/>
            <w:noWrap/>
            <w:hideMark/>
          </w:tcPr>
          <w:p w14:paraId="23DE7335" w14:textId="77777777" w:rsidR="00D00FBB" w:rsidRPr="00D00FBB" w:rsidRDefault="00D00FBB" w:rsidP="00D00FBB">
            <w:pPr>
              <w:jc w:val="left"/>
              <w:rPr>
                <w:rFonts w:ascii="Calibri" w:eastAsia="Times New Roman" w:hAnsi="Calibri" w:cs="Times New Roman"/>
                <w:color w:val="000000"/>
                <w:sz w:val="22"/>
                <w:lang w:val="en-ZA" w:eastAsia="en-ZA"/>
              </w:rPr>
            </w:pPr>
            <w:r w:rsidRPr="00D00FBB">
              <w:rPr>
                <w:rFonts w:ascii="Calibri" w:eastAsia="Times New Roman" w:hAnsi="Calibri" w:cs="Times New Roman"/>
                <w:color w:val="000000"/>
                <w:sz w:val="22"/>
                <w:lang w:val="en-ZA" w:eastAsia="en-ZA"/>
              </w:rPr>
              <w:t>GRANT IN AID</w:t>
            </w:r>
          </w:p>
        </w:tc>
        <w:tc>
          <w:tcPr>
            <w:tcW w:w="1620" w:type="dxa"/>
            <w:hideMark/>
          </w:tcPr>
          <w:p w14:paraId="27F6794B" w14:textId="77777777" w:rsidR="00D00FBB" w:rsidRPr="00D00FBB" w:rsidRDefault="00D00FBB" w:rsidP="00D00FB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n-ZA" w:eastAsia="en-ZA"/>
              </w:rPr>
            </w:pPr>
            <w:r w:rsidRPr="00D00FBB">
              <w:rPr>
                <w:rFonts w:ascii="Arial" w:eastAsia="Times New Roman" w:hAnsi="Arial" w:cs="Arial"/>
                <w:b/>
                <w:bCs/>
                <w:color w:val="000000"/>
                <w:sz w:val="16"/>
                <w:szCs w:val="16"/>
                <w:lang w:val="en-ZA" w:eastAsia="en-ZA"/>
              </w:rPr>
              <w:t>129 147</w:t>
            </w:r>
          </w:p>
        </w:tc>
        <w:tc>
          <w:tcPr>
            <w:tcW w:w="1640" w:type="dxa"/>
            <w:hideMark/>
          </w:tcPr>
          <w:p w14:paraId="3597FF33" w14:textId="77777777" w:rsidR="00D00FBB" w:rsidRPr="00D00FBB" w:rsidRDefault="00D00FBB" w:rsidP="00D00FB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n-ZA" w:eastAsia="en-ZA"/>
              </w:rPr>
            </w:pPr>
            <w:r w:rsidRPr="00D00FBB">
              <w:rPr>
                <w:rFonts w:ascii="Arial" w:eastAsia="Times New Roman" w:hAnsi="Arial" w:cs="Arial"/>
                <w:b/>
                <w:bCs/>
                <w:color w:val="000000"/>
                <w:sz w:val="16"/>
                <w:szCs w:val="16"/>
                <w:lang w:val="en-ZA" w:eastAsia="en-ZA"/>
              </w:rPr>
              <w:t>64 918</w:t>
            </w:r>
          </w:p>
        </w:tc>
        <w:tc>
          <w:tcPr>
            <w:tcW w:w="1640" w:type="dxa"/>
            <w:noWrap/>
            <w:hideMark/>
          </w:tcPr>
          <w:p w14:paraId="23260FE9" w14:textId="77777777" w:rsidR="00D00FBB" w:rsidRPr="00D00FBB" w:rsidRDefault="00D00FBB" w:rsidP="00D00F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val="en-ZA" w:eastAsia="en-ZA"/>
              </w:rPr>
            </w:pPr>
            <w:r w:rsidRPr="00D00FBB">
              <w:rPr>
                <w:rFonts w:ascii="Calibri" w:eastAsia="Times New Roman" w:hAnsi="Calibri" w:cs="Times New Roman"/>
                <w:color w:val="000000"/>
                <w:sz w:val="22"/>
                <w:lang w:val="en-ZA" w:eastAsia="en-ZA"/>
              </w:rPr>
              <w:t>194 065</w:t>
            </w:r>
          </w:p>
        </w:tc>
      </w:tr>
      <w:tr w:rsidR="00D00FBB" w:rsidRPr="00D00FBB" w14:paraId="3BE23054" w14:textId="77777777" w:rsidTr="007D56CB">
        <w:trPr>
          <w:trHeight w:val="300"/>
        </w:trPr>
        <w:tc>
          <w:tcPr>
            <w:cnfStyle w:val="001000000000" w:firstRow="0" w:lastRow="0" w:firstColumn="1" w:lastColumn="0" w:oddVBand="0" w:evenVBand="0" w:oddHBand="0" w:evenHBand="0" w:firstRowFirstColumn="0" w:firstRowLastColumn="0" w:lastRowFirstColumn="0" w:lastRowLastColumn="0"/>
            <w:tcW w:w="3100" w:type="dxa"/>
            <w:noWrap/>
            <w:hideMark/>
          </w:tcPr>
          <w:p w14:paraId="7272C527" w14:textId="77777777" w:rsidR="00D00FBB" w:rsidRPr="00D00FBB" w:rsidRDefault="00D00FBB" w:rsidP="00D00FBB">
            <w:pPr>
              <w:jc w:val="left"/>
              <w:rPr>
                <w:rFonts w:ascii="Calibri" w:eastAsia="Times New Roman" w:hAnsi="Calibri" w:cs="Times New Roman"/>
                <w:color w:val="000000"/>
                <w:sz w:val="22"/>
                <w:lang w:val="en-ZA" w:eastAsia="en-ZA"/>
              </w:rPr>
            </w:pPr>
            <w:r w:rsidRPr="00D00FBB">
              <w:rPr>
                <w:rFonts w:ascii="Calibri" w:eastAsia="Times New Roman" w:hAnsi="Calibri" w:cs="Times New Roman"/>
                <w:color w:val="000000"/>
                <w:sz w:val="22"/>
                <w:lang w:val="en-ZA" w:eastAsia="en-ZA"/>
              </w:rPr>
              <w:t>OLD AGE GRANT</w:t>
            </w:r>
          </w:p>
        </w:tc>
        <w:tc>
          <w:tcPr>
            <w:tcW w:w="1620" w:type="dxa"/>
            <w:hideMark/>
          </w:tcPr>
          <w:p w14:paraId="38025331" w14:textId="77777777" w:rsidR="00D00FBB" w:rsidRPr="00D00FBB" w:rsidRDefault="00D00FBB" w:rsidP="00D00FB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val="en-ZA" w:eastAsia="en-ZA"/>
              </w:rPr>
            </w:pPr>
            <w:r w:rsidRPr="00D00FBB">
              <w:rPr>
                <w:rFonts w:ascii="Arial" w:eastAsia="Times New Roman" w:hAnsi="Arial" w:cs="Arial"/>
                <w:b/>
                <w:bCs/>
                <w:color w:val="000000"/>
                <w:sz w:val="16"/>
                <w:szCs w:val="16"/>
                <w:lang w:val="en-ZA" w:eastAsia="en-ZA"/>
              </w:rPr>
              <w:t>2 217 781</w:t>
            </w:r>
          </w:p>
        </w:tc>
        <w:tc>
          <w:tcPr>
            <w:tcW w:w="1640" w:type="dxa"/>
            <w:hideMark/>
          </w:tcPr>
          <w:p w14:paraId="4C3E598A" w14:textId="77777777" w:rsidR="00D00FBB" w:rsidRPr="00D00FBB" w:rsidRDefault="00D00FBB" w:rsidP="00D00FB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val="en-ZA" w:eastAsia="en-ZA"/>
              </w:rPr>
            </w:pPr>
            <w:r w:rsidRPr="00D00FBB">
              <w:rPr>
                <w:rFonts w:ascii="Arial" w:eastAsia="Times New Roman" w:hAnsi="Arial" w:cs="Arial"/>
                <w:b/>
                <w:bCs/>
                <w:color w:val="000000"/>
                <w:sz w:val="16"/>
                <w:szCs w:val="16"/>
                <w:lang w:val="en-ZA" w:eastAsia="en-ZA"/>
              </w:rPr>
              <w:t>1 216 526</w:t>
            </w:r>
          </w:p>
        </w:tc>
        <w:tc>
          <w:tcPr>
            <w:tcW w:w="1640" w:type="dxa"/>
            <w:noWrap/>
            <w:hideMark/>
          </w:tcPr>
          <w:p w14:paraId="0EFDDBB4" w14:textId="77777777" w:rsidR="00D00FBB" w:rsidRPr="00D00FBB" w:rsidRDefault="00D00FBB" w:rsidP="00D00F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val="en-ZA" w:eastAsia="en-ZA"/>
              </w:rPr>
            </w:pPr>
            <w:r w:rsidRPr="00D00FBB">
              <w:rPr>
                <w:rFonts w:ascii="Calibri" w:eastAsia="Times New Roman" w:hAnsi="Calibri" w:cs="Times New Roman"/>
                <w:color w:val="000000"/>
                <w:sz w:val="22"/>
                <w:lang w:val="en-ZA" w:eastAsia="en-ZA"/>
              </w:rPr>
              <w:t>3 434 307</w:t>
            </w:r>
          </w:p>
        </w:tc>
      </w:tr>
      <w:tr w:rsidR="00D00FBB" w:rsidRPr="00D00FBB" w14:paraId="616A93D3" w14:textId="77777777" w:rsidTr="007D56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0" w:type="dxa"/>
            <w:noWrap/>
            <w:hideMark/>
          </w:tcPr>
          <w:p w14:paraId="6F64D93C" w14:textId="77777777" w:rsidR="00D00FBB" w:rsidRPr="00D00FBB" w:rsidRDefault="00D00FBB" w:rsidP="00D00FBB">
            <w:pPr>
              <w:jc w:val="left"/>
              <w:rPr>
                <w:rFonts w:ascii="Calibri" w:eastAsia="Times New Roman" w:hAnsi="Calibri" w:cs="Times New Roman"/>
                <w:b w:val="0"/>
                <w:bCs w:val="0"/>
                <w:color w:val="000000"/>
                <w:sz w:val="22"/>
                <w:lang w:val="en-ZA" w:eastAsia="en-ZA"/>
              </w:rPr>
            </w:pPr>
            <w:r w:rsidRPr="00D00FBB">
              <w:rPr>
                <w:rFonts w:ascii="Calibri" w:eastAsia="Times New Roman" w:hAnsi="Calibri" w:cs="Times New Roman"/>
                <w:b w:val="0"/>
                <w:bCs w:val="0"/>
                <w:color w:val="000000"/>
                <w:sz w:val="22"/>
                <w:lang w:val="en-ZA" w:eastAsia="en-ZA"/>
              </w:rPr>
              <w:t xml:space="preserve">TOTAL </w:t>
            </w:r>
          </w:p>
        </w:tc>
        <w:tc>
          <w:tcPr>
            <w:tcW w:w="1620" w:type="dxa"/>
            <w:noWrap/>
            <w:hideMark/>
          </w:tcPr>
          <w:p w14:paraId="0AEEC105" w14:textId="77777777" w:rsidR="00D00FBB" w:rsidRPr="00D00FBB" w:rsidRDefault="00D00FBB" w:rsidP="00D00F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lang w:val="en-ZA" w:eastAsia="en-ZA"/>
              </w:rPr>
            </w:pPr>
            <w:r w:rsidRPr="00D00FBB">
              <w:rPr>
                <w:rFonts w:ascii="Calibri" w:eastAsia="Times New Roman" w:hAnsi="Calibri" w:cs="Times New Roman"/>
                <w:b/>
                <w:bCs/>
                <w:color w:val="000000"/>
                <w:sz w:val="22"/>
                <w:lang w:val="en-ZA" w:eastAsia="en-ZA"/>
              </w:rPr>
              <w:t>10 048 997</w:t>
            </w:r>
          </w:p>
        </w:tc>
        <w:tc>
          <w:tcPr>
            <w:tcW w:w="1640" w:type="dxa"/>
            <w:noWrap/>
            <w:hideMark/>
          </w:tcPr>
          <w:p w14:paraId="046F97CA" w14:textId="77777777" w:rsidR="00D00FBB" w:rsidRPr="00D00FBB" w:rsidRDefault="00D00FBB" w:rsidP="00D00F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lang w:val="en-ZA" w:eastAsia="en-ZA"/>
              </w:rPr>
            </w:pPr>
            <w:r w:rsidRPr="00D00FBB">
              <w:rPr>
                <w:rFonts w:ascii="Calibri" w:eastAsia="Times New Roman" w:hAnsi="Calibri" w:cs="Times New Roman"/>
                <w:b/>
                <w:bCs/>
                <w:color w:val="000000"/>
                <w:sz w:val="22"/>
                <w:lang w:val="en-ZA" w:eastAsia="en-ZA"/>
              </w:rPr>
              <w:t>1 967 189</w:t>
            </w:r>
          </w:p>
        </w:tc>
        <w:tc>
          <w:tcPr>
            <w:tcW w:w="1640" w:type="dxa"/>
            <w:noWrap/>
            <w:hideMark/>
          </w:tcPr>
          <w:p w14:paraId="481ED1FC" w14:textId="77777777" w:rsidR="00D00FBB" w:rsidRPr="00D00FBB" w:rsidRDefault="00D00FBB" w:rsidP="00D00F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lang w:val="en-ZA" w:eastAsia="en-ZA"/>
              </w:rPr>
            </w:pPr>
            <w:r w:rsidRPr="00D00FBB">
              <w:rPr>
                <w:rFonts w:ascii="Calibri" w:eastAsia="Times New Roman" w:hAnsi="Calibri" w:cs="Times New Roman"/>
                <w:b/>
                <w:bCs/>
                <w:color w:val="000000"/>
                <w:sz w:val="22"/>
                <w:lang w:val="en-ZA" w:eastAsia="en-ZA"/>
              </w:rPr>
              <w:t>12 016 186</w:t>
            </w:r>
          </w:p>
        </w:tc>
      </w:tr>
    </w:tbl>
    <w:p w14:paraId="50B5F957" w14:textId="77777777" w:rsidR="00F13E5B" w:rsidRDefault="00F13E5B" w:rsidP="00CE3278">
      <w:pPr>
        <w:autoSpaceDE w:val="0"/>
        <w:autoSpaceDN w:val="0"/>
        <w:adjustRightInd w:val="0"/>
        <w:spacing w:after="0"/>
        <w:rPr>
          <w:rFonts w:ascii="Arial" w:hAnsi="Arial" w:cs="Arial"/>
          <w:b/>
          <w:color w:val="000000" w:themeColor="text1"/>
          <w:u w:val="single"/>
        </w:rPr>
      </w:pPr>
    </w:p>
    <w:p w14:paraId="702B69D3" w14:textId="16BBE3FC" w:rsidR="0065126C" w:rsidRDefault="0065126C" w:rsidP="00CE3278">
      <w:pPr>
        <w:autoSpaceDE w:val="0"/>
        <w:autoSpaceDN w:val="0"/>
        <w:adjustRightInd w:val="0"/>
        <w:spacing w:after="0"/>
        <w:rPr>
          <w:rFonts w:ascii="Arial" w:hAnsi="Arial" w:cs="Arial"/>
          <w:b/>
          <w:color w:val="000000" w:themeColor="text1"/>
          <w:u w:val="single"/>
        </w:rPr>
      </w:pPr>
      <w:r w:rsidRPr="002965EC">
        <w:rPr>
          <w:rFonts w:ascii="Arial" w:hAnsi="Arial" w:cs="Arial"/>
          <w:b/>
          <w:color w:val="000000" w:themeColor="text1"/>
          <w:u w:val="single"/>
        </w:rPr>
        <w:t xml:space="preserve">Table </w:t>
      </w:r>
      <w:r w:rsidR="00D92090">
        <w:rPr>
          <w:rFonts w:ascii="Arial" w:hAnsi="Arial" w:cs="Arial"/>
          <w:b/>
          <w:color w:val="000000" w:themeColor="text1"/>
          <w:u w:val="single"/>
        </w:rPr>
        <w:t>2</w:t>
      </w:r>
      <w:r w:rsidRPr="002965EC">
        <w:rPr>
          <w:rFonts w:ascii="Arial" w:hAnsi="Arial" w:cs="Arial"/>
          <w:b/>
          <w:color w:val="000000" w:themeColor="text1"/>
          <w:u w:val="single"/>
        </w:rPr>
        <w:t xml:space="preserve"> Number and Percentage of grant recipients by province and sex </w:t>
      </w:r>
    </w:p>
    <w:p w14:paraId="36F6FB31" w14:textId="77777777" w:rsidR="00432A25" w:rsidRPr="002965EC" w:rsidRDefault="00432A25" w:rsidP="00CE3278">
      <w:pPr>
        <w:autoSpaceDE w:val="0"/>
        <w:autoSpaceDN w:val="0"/>
        <w:adjustRightInd w:val="0"/>
        <w:spacing w:after="0"/>
        <w:rPr>
          <w:rFonts w:ascii="Arial" w:hAnsi="Arial" w:cs="Arial"/>
          <w:b/>
          <w:color w:val="000000" w:themeColor="text1"/>
          <w:u w:val="single"/>
        </w:rPr>
      </w:pPr>
    </w:p>
    <w:tbl>
      <w:tblPr>
        <w:tblW w:w="9007" w:type="dxa"/>
        <w:tblInd w:w="93" w:type="dxa"/>
        <w:tblLook w:val="04A0" w:firstRow="1" w:lastRow="0" w:firstColumn="1" w:lastColumn="0" w:noHBand="0" w:noVBand="1"/>
      </w:tblPr>
      <w:tblGrid>
        <w:gridCol w:w="1709"/>
        <w:gridCol w:w="1030"/>
        <w:gridCol w:w="1030"/>
        <w:gridCol w:w="1171"/>
        <w:gridCol w:w="1596"/>
        <w:gridCol w:w="815"/>
        <w:gridCol w:w="939"/>
        <w:gridCol w:w="717"/>
      </w:tblGrid>
      <w:tr w:rsidR="00F14D40" w:rsidRPr="00D00FBB" w14:paraId="1F43749D" w14:textId="77777777" w:rsidTr="001D5997">
        <w:trPr>
          <w:trHeight w:val="517"/>
        </w:trPr>
        <w:tc>
          <w:tcPr>
            <w:tcW w:w="49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4C87C115"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Total number of grants  by sex</w:t>
            </w:r>
          </w:p>
        </w:tc>
        <w:tc>
          <w:tcPr>
            <w:tcW w:w="4067"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0F071F2B"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Perce</w:t>
            </w:r>
            <w:r w:rsidR="001D5997" w:rsidRPr="00D00FBB">
              <w:rPr>
                <w:rFonts w:ascii="Arial" w:hAnsi="Arial" w:cs="Arial"/>
                <w:sz w:val="20"/>
                <w:szCs w:val="20"/>
              </w:rPr>
              <w:t>n</w:t>
            </w:r>
            <w:r w:rsidRPr="00D00FBB">
              <w:rPr>
                <w:rFonts w:ascii="Arial" w:hAnsi="Arial" w:cs="Arial"/>
                <w:sz w:val="20"/>
                <w:szCs w:val="20"/>
              </w:rPr>
              <w:t>tage of grants  by sex</w:t>
            </w:r>
          </w:p>
        </w:tc>
      </w:tr>
      <w:tr w:rsidR="00F14D40" w:rsidRPr="00D00FBB" w14:paraId="3B351DF3" w14:textId="77777777" w:rsidTr="001D5997">
        <w:trPr>
          <w:trHeight w:val="517"/>
        </w:trPr>
        <w:tc>
          <w:tcPr>
            <w:tcW w:w="4940" w:type="dxa"/>
            <w:gridSpan w:val="4"/>
            <w:vMerge/>
            <w:tcBorders>
              <w:top w:val="single" w:sz="4" w:space="0" w:color="auto"/>
              <w:left w:val="single" w:sz="4" w:space="0" w:color="auto"/>
              <w:bottom w:val="single" w:sz="4" w:space="0" w:color="000000"/>
              <w:right w:val="single" w:sz="4" w:space="0" w:color="000000"/>
            </w:tcBorders>
            <w:vAlign w:val="center"/>
            <w:hideMark/>
          </w:tcPr>
          <w:p w14:paraId="79DD6327" w14:textId="77777777" w:rsidR="00F14D40" w:rsidRPr="00D00FBB" w:rsidRDefault="00F14D40" w:rsidP="00413A3E">
            <w:pPr>
              <w:rPr>
                <w:rFonts w:ascii="Arial" w:hAnsi="Arial" w:cs="Arial"/>
                <w:sz w:val="20"/>
                <w:szCs w:val="20"/>
              </w:rPr>
            </w:pPr>
          </w:p>
        </w:tc>
        <w:tc>
          <w:tcPr>
            <w:tcW w:w="4067" w:type="dxa"/>
            <w:gridSpan w:val="4"/>
            <w:vMerge/>
            <w:tcBorders>
              <w:top w:val="single" w:sz="4" w:space="0" w:color="auto"/>
              <w:left w:val="single" w:sz="4" w:space="0" w:color="auto"/>
              <w:bottom w:val="single" w:sz="4" w:space="0" w:color="000000"/>
              <w:right w:val="single" w:sz="4" w:space="0" w:color="000000"/>
            </w:tcBorders>
            <w:vAlign w:val="center"/>
            <w:hideMark/>
          </w:tcPr>
          <w:p w14:paraId="3D31D13E" w14:textId="77777777" w:rsidR="00F14D40" w:rsidRPr="00D00FBB" w:rsidRDefault="00F14D40" w:rsidP="00413A3E">
            <w:pPr>
              <w:rPr>
                <w:rFonts w:ascii="Arial" w:hAnsi="Arial" w:cs="Arial"/>
                <w:sz w:val="20"/>
                <w:szCs w:val="20"/>
              </w:rPr>
            </w:pPr>
          </w:p>
        </w:tc>
      </w:tr>
      <w:tr w:rsidR="00F14D40" w:rsidRPr="00D00FBB" w14:paraId="72109F7C" w14:textId="77777777" w:rsidTr="001D5997">
        <w:trPr>
          <w:trHeight w:val="255"/>
        </w:trPr>
        <w:tc>
          <w:tcPr>
            <w:tcW w:w="170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FCAD8BA" w14:textId="77777777" w:rsidR="00F14D40" w:rsidRPr="00D00FBB" w:rsidRDefault="00F14D40" w:rsidP="00413A3E">
            <w:pPr>
              <w:rPr>
                <w:rFonts w:ascii="Arial" w:hAnsi="Arial" w:cs="Arial"/>
                <w:sz w:val="20"/>
                <w:szCs w:val="20"/>
              </w:rPr>
            </w:pPr>
            <w:r w:rsidRPr="00D00FBB">
              <w:rPr>
                <w:rFonts w:ascii="Arial" w:hAnsi="Arial" w:cs="Arial"/>
                <w:sz w:val="20"/>
                <w:szCs w:val="20"/>
              </w:rPr>
              <w:t>Province</w:t>
            </w:r>
          </w:p>
        </w:tc>
        <w:tc>
          <w:tcPr>
            <w:tcW w:w="20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3E95587"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Sex</w:t>
            </w:r>
          </w:p>
        </w:tc>
        <w:tc>
          <w:tcPr>
            <w:tcW w:w="117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982DC8E"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Total</w:t>
            </w:r>
          </w:p>
        </w:tc>
        <w:tc>
          <w:tcPr>
            <w:tcW w:w="159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C541C7C"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Province</w:t>
            </w:r>
          </w:p>
        </w:tc>
        <w:tc>
          <w:tcPr>
            <w:tcW w:w="175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1D5A647"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Sex</w:t>
            </w:r>
          </w:p>
        </w:tc>
        <w:tc>
          <w:tcPr>
            <w:tcW w:w="71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C58B47A" w14:textId="77777777" w:rsidR="00F14D40" w:rsidRPr="00D00FBB" w:rsidRDefault="00F14D40" w:rsidP="00413A3E">
            <w:pPr>
              <w:rPr>
                <w:rFonts w:ascii="Arial" w:hAnsi="Arial" w:cs="Arial"/>
                <w:sz w:val="20"/>
                <w:szCs w:val="20"/>
              </w:rPr>
            </w:pPr>
            <w:r w:rsidRPr="00D00FBB">
              <w:rPr>
                <w:rFonts w:ascii="Arial" w:hAnsi="Arial" w:cs="Arial"/>
                <w:sz w:val="20"/>
                <w:szCs w:val="20"/>
              </w:rPr>
              <w:t>Total</w:t>
            </w:r>
          </w:p>
        </w:tc>
      </w:tr>
      <w:tr w:rsidR="00F14D40" w:rsidRPr="00D00FBB" w14:paraId="60A8A484" w14:textId="77777777" w:rsidTr="001D5997">
        <w:trPr>
          <w:trHeight w:val="255"/>
        </w:trPr>
        <w:tc>
          <w:tcPr>
            <w:tcW w:w="1709" w:type="dxa"/>
            <w:vMerge/>
            <w:tcBorders>
              <w:top w:val="nil"/>
              <w:left w:val="single" w:sz="4" w:space="0" w:color="auto"/>
              <w:bottom w:val="single" w:sz="4" w:space="0" w:color="000000"/>
              <w:right w:val="single" w:sz="4" w:space="0" w:color="auto"/>
            </w:tcBorders>
            <w:vAlign w:val="center"/>
            <w:hideMark/>
          </w:tcPr>
          <w:p w14:paraId="02C34FDC" w14:textId="77777777" w:rsidR="00F14D40" w:rsidRPr="00D00FBB" w:rsidRDefault="00F14D40" w:rsidP="00413A3E">
            <w:pPr>
              <w:rPr>
                <w:rFonts w:ascii="Arial" w:hAnsi="Arial" w:cs="Arial"/>
                <w:sz w:val="20"/>
                <w:szCs w:val="20"/>
              </w:rPr>
            </w:pPr>
          </w:p>
        </w:tc>
        <w:tc>
          <w:tcPr>
            <w:tcW w:w="1030" w:type="dxa"/>
            <w:tcBorders>
              <w:top w:val="nil"/>
              <w:left w:val="nil"/>
              <w:bottom w:val="single" w:sz="4" w:space="0" w:color="auto"/>
              <w:right w:val="single" w:sz="4" w:space="0" w:color="auto"/>
            </w:tcBorders>
            <w:shd w:val="clear" w:color="auto" w:fill="auto"/>
            <w:noWrap/>
            <w:vAlign w:val="bottom"/>
            <w:hideMark/>
          </w:tcPr>
          <w:p w14:paraId="19DB6F7C"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Male</w:t>
            </w:r>
          </w:p>
        </w:tc>
        <w:tc>
          <w:tcPr>
            <w:tcW w:w="1030" w:type="dxa"/>
            <w:tcBorders>
              <w:top w:val="nil"/>
              <w:left w:val="nil"/>
              <w:bottom w:val="single" w:sz="4" w:space="0" w:color="auto"/>
              <w:right w:val="single" w:sz="4" w:space="0" w:color="auto"/>
            </w:tcBorders>
            <w:shd w:val="clear" w:color="auto" w:fill="auto"/>
            <w:noWrap/>
            <w:vAlign w:val="bottom"/>
            <w:hideMark/>
          </w:tcPr>
          <w:p w14:paraId="1250A33F"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Female</w:t>
            </w:r>
          </w:p>
        </w:tc>
        <w:tc>
          <w:tcPr>
            <w:tcW w:w="1171" w:type="dxa"/>
            <w:vMerge/>
            <w:tcBorders>
              <w:top w:val="nil"/>
              <w:left w:val="single" w:sz="4" w:space="0" w:color="auto"/>
              <w:bottom w:val="single" w:sz="4" w:space="0" w:color="auto"/>
              <w:right w:val="single" w:sz="4" w:space="0" w:color="auto"/>
            </w:tcBorders>
            <w:vAlign w:val="center"/>
            <w:hideMark/>
          </w:tcPr>
          <w:p w14:paraId="3A935F09" w14:textId="77777777" w:rsidR="00F14D40" w:rsidRPr="00D00FBB" w:rsidRDefault="00F14D40" w:rsidP="00413A3E">
            <w:pPr>
              <w:jc w:val="center"/>
              <w:rPr>
                <w:rFonts w:ascii="Arial" w:hAnsi="Arial" w:cs="Arial"/>
                <w:sz w:val="20"/>
                <w:szCs w:val="20"/>
              </w:rPr>
            </w:pPr>
          </w:p>
        </w:tc>
        <w:tc>
          <w:tcPr>
            <w:tcW w:w="1596" w:type="dxa"/>
            <w:vMerge/>
            <w:tcBorders>
              <w:top w:val="nil"/>
              <w:left w:val="single" w:sz="4" w:space="0" w:color="auto"/>
              <w:bottom w:val="single" w:sz="4" w:space="0" w:color="000000"/>
              <w:right w:val="single" w:sz="4" w:space="0" w:color="auto"/>
            </w:tcBorders>
            <w:vAlign w:val="center"/>
            <w:hideMark/>
          </w:tcPr>
          <w:p w14:paraId="42B1AA1F" w14:textId="77777777" w:rsidR="00F14D40" w:rsidRPr="00D00FBB" w:rsidRDefault="00F14D40" w:rsidP="00413A3E">
            <w:pPr>
              <w:jc w:val="center"/>
              <w:rPr>
                <w:rFonts w:ascii="Arial" w:hAnsi="Arial" w:cs="Arial"/>
                <w:sz w:val="20"/>
                <w:szCs w:val="20"/>
              </w:rPr>
            </w:pPr>
          </w:p>
        </w:tc>
        <w:tc>
          <w:tcPr>
            <w:tcW w:w="815" w:type="dxa"/>
            <w:tcBorders>
              <w:top w:val="nil"/>
              <w:left w:val="nil"/>
              <w:bottom w:val="single" w:sz="4" w:space="0" w:color="auto"/>
              <w:right w:val="single" w:sz="4" w:space="0" w:color="auto"/>
            </w:tcBorders>
            <w:shd w:val="clear" w:color="auto" w:fill="auto"/>
            <w:noWrap/>
            <w:vAlign w:val="bottom"/>
            <w:hideMark/>
          </w:tcPr>
          <w:p w14:paraId="34D83689"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Male</w:t>
            </w:r>
          </w:p>
        </w:tc>
        <w:tc>
          <w:tcPr>
            <w:tcW w:w="939" w:type="dxa"/>
            <w:tcBorders>
              <w:top w:val="nil"/>
              <w:left w:val="nil"/>
              <w:bottom w:val="single" w:sz="4" w:space="0" w:color="auto"/>
              <w:right w:val="single" w:sz="4" w:space="0" w:color="auto"/>
            </w:tcBorders>
            <w:shd w:val="clear" w:color="auto" w:fill="auto"/>
            <w:noWrap/>
            <w:vAlign w:val="bottom"/>
            <w:hideMark/>
          </w:tcPr>
          <w:p w14:paraId="65B1065A"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Female</w:t>
            </w:r>
          </w:p>
        </w:tc>
        <w:tc>
          <w:tcPr>
            <w:tcW w:w="717" w:type="dxa"/>
            <w:vMerge/>
            <w:tcBorders>
              <w:top w:val="nil"/>
              <w:left w:val="single" w:sz="4" w:space="0" w:color="auto"/>
              <w:bottom w:val="single" w:sz="4" w:space="0" w:color="auto"/>
              <w:right w:val="single" w:sz="4" w:space="0" w:color="auto"/>
            </w:tcBorders>
            <w:vAlign w:val="center"/>
            <w:hideMark/>
          </w:tcPr>
          <w:p w14:paraId="534D89B4" w14:textId="77777777" w:rsidR="00F14D40" w:rsidRPr="00D00FBB" w:rsidRDefault="00F14D40" w:rsidP="00413A3E">
            <w:pPr>
              <w:rPr>
                <w:rFonts w:ascii="Arial" w:hAnsi="Arial" w:cs="Arial"/>
                <w:sz w:val="20"/>
                <w:szCs w:val="20"/>
              </w:rPr>
            </w:pPr>
          </w:p>
        </w:tc>
      </w:tr>
      <w:tr w:rsidR="00F14D40" w:rsidRPr="00D00FBB" w14:paraId="3BB21958" w14:textId="77777777" w:rsidTr="001D5997">
        <w:trPr>
          <w:trHeight w:val="255"/>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14:paraId="40BC4BE5" w14:textId="77777777" w:rsidR="00F14D40" w:rsidRPr="00D00FBB" w:rsidRDefault="00F14D40" w:rsidP="00413A3E">
            <w:pPr>
              <w:rPr>
                <w:rFonts w:ascii="Arial" w:hAnsi="Arial" w:cs="Arial"/>
                <w:sz w:val="20"/>
                <w:szCs w:val="20"/>
              </w:rPr>
            </w:pPr>
            <w:r w:rsidRPr="00D00FBB">
              <w:rPr>
                <w:rFonts w:ascii="Arial" w:hAnsi="Arial" w:cs="Arial"/>
                <w:sz w:val="20"/>
                <w:szCs w:val="20"/>
              </w:rPr>
              <w:t>Western Cape</w:t>
            </w:r>
          </w:p>
        </w:tc>
        <w:tc>
          <w:tcPr>
            <w:tcW w:w="1030" w:type="dxa"/>
            <w:tcBorders>
              <w:top w:val="nil"/>
              <w:left w:val="nil"/>
              <w:bottom w:val="single" w:sz="4" w:space="0" w:color="auto"/>
              <w:right w:val="single" w:sz="4" w:space="0" w:color="auto"/>
            </w:tcBorders>
            <w:shd w:val="clear" w:color="auto" w:fill="auto"/>
            <w:noWrap/>
            <w:vAlign w:val="bottom"/>
            <w:hideMark/>
          </w:tcPr>
          <w:p w14:paraId="12B87845"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680672</w:t>
            </w:r>
          </w:p>
        </w:tc>
        <w:tc>
          <w:tcPr>
            <w:tcW w:w="1030" w:type="dxa"/>
            <w:tcBorders>
              <w:top w:val="nil"/>
              <w:left w:val="nil"/>
              <w:bottom w:val="single" w:sz="4" w:space="0" w:color="auto"/>
              <w:right w:val="single" w:sz="4" w:space="0" w:color="auto"/>
            </w:tcBorders>
            <w:shd w:val="clear" w:color="auto" w:fill="auto"/>
            <w:noWrap/>
            <w:vAlign w:val="bottom"/>
            <w:hideMark/>
          </w:tcPr>
          <w:p w14:paraId="49EAAE02"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781505</w:t>
            </w:r>
          </w:p>
        </w:tc>
        <w:tc>
          <w:tcPr>
            <w:tcW w:w="1171" w:type="dxa"/>
            <w:tcBorders>
              <w:top w:val="nil"/>
              <w:left w:val="nil"/>
              <w:bottom w:val="single" w:sz="4" w:space="0" w:color="auto"/>
              <w:right w:val="single" w:sz="4" w:space="0" w:color="auto"/>
            </w:tcBorders>
            <w:shd w:val="clear" w:color="auto" w:fill="auto"/>
            <w:noWrap/>
            <w:vAlign w:val="bottom"/>
            <w:hideMark/>
          </w:tcPr>
          <w:p w14:paraId="4B224C61"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1462176</w:t>
            </w:r>
          </w:p>
        </w:tc>
        <w:tc>
          <w:tcPr>
            <w:tcW w:w="1596" w:type="dxa"/>
            <w:tcBorders>
              <w:top w:val="nil"/>
              <w:left w:val="nil"/>
              <w:bottom w:val="single" w:sz="4" w:space="0" w:color="auto"/>
              <w:right w:val="single" w:sz="4" w:space="0" w:color="auto"/>
            </w:tcBorders>
            <w:shd w:val="clear" w:color="auto" w:fill="auto"/>
            <w:noWrap/>
            <w:vAlign w:val="bottom"/>
            <w:hideMark/>
          </w:tcPr>
          <w:p w14:paraId="7DD91447"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Western Cape</w:t>
            </w:r>
          </w:p>
        </w:tc>
        <w:tc>
          <w:tcPr>
            <w:tcW w:w="815" w:type="dxa"/>
            <w:tcBorders>
              <w:top w:val="nil"/>
              <w:left w:val="nil"/>
              <w:bottom w:val="single" w:sz="4" w:space="0" w:color="auto"/>
              <w:right w:val="single" w:sz="4" w:space="0" w:color="auto"/>
            </w:tcBorders>
            <w:shd w:val="clear" w:color="auto" w:fill="auto"/>
            <w:noWrap/>
            <w:vAlign w:val="bottom"/>
            <w:hideMark/>
          </w:tcPr>
          <w:p w14:paraId="0BEBEF57"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46,6</w:t>
            </w:r>
          </w:p>
        </w:tc>
        <w:tc>
          <w:tcPr>
            <w:tcW w:w="939" w:type="dxa"/>
            <w:tcBorders>
              <w:top w:val="nil"/>
              <w:left w:val="nil"/>
              <w:bottom w:val="single" w:sz="4" w:space="0" w:color="auto"/>
              <w:right w:val="single" w:sz="4" w:space="0" w:color="auto"/>
            </w:tcBorders>
            <w:shd w:val="clear" w:color="auto" w:fill="auto"/>
            <w:noWrap/>
            <w:vAlign w:val="bottom"/>
            <w:hideMark/>
          </w:tcPr>
          <w:p w14:paraId="7549A6B5"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53,4</w:t>
            </w:r>
          </w:p>
        </w:tc>
        <w:tc>
          <w:tcPr>
            <w:tcW w:w="717" w:type="dxa"/>
            <w:tcBorders>
              <w:top w:val="nil"/>
              <w:left w:val="nil"/>
              <w:bottom w:val="single" w:sz="4" w:space="0" w:color="auto"/>
              <w:right w:val="single" w:sz="4" w:space="0" w:color="auto"/>
            </w:tcBorders>
            <w:shd w:val="clear" w:color="auto" w:fill="auto"/>
            <w:noWrap/>
            <w:vAlign w:val="bottom"/>
            <w:hideMark/>
          </w:tcPr>
          <w:p w14:paraId="258D603F"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100,0</w:t>
            </w:r>
          </w:p>
        </w:tc>
      </w:tr>
      <w:tr w:rsidR="00F14D40" w:rsidRPr="00D00FBB" w14:paraId="69C85333" w14:textId="77777777" w:rsidTr="001D5997">
        <w:trPr>
          <w:trHeight w:val="255"/>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14:paraId="3A83113F" w14:textId="77777777" w:rsidR="00F14D40" w:rsidRPr="00D00FBB" w:rsidRDefault="00F14D40" w:rsidP="00413A3E">
            <w:pPr>
              <w:rPr>
                <w:rFonts w:ascii="Arial" w:hAnsi="Arial" w:cs="Arial"/>
                <w:sz w:val="20"/>
                <w:szCs w:val="20"/>
              </w:rPr>
            </w:pPr>
            <w:r w:rsidRPr="00D00FBB">
              <w:rPr>
                <w:rFonts w:ascii="Arial" w:hAnsi="Arial" w:cs="Arial"/>
                <w:sz w:val="20"/>
                <w:szCs w:val="20"/>
              </w:rPr>
              <w:t>Eastern Cape</w:t>
            </w:r>
          </w:p>
        </w:tc>
        <w:tc>
          <w:tcPr>
            <w:tcW w:w="1030" w:type="dxa"/>
            <w:tcBorders>
              <w:top w:val="nil"/>
              <w:left w:val="nil"/>
              <w:bottom w:val="single" w:sz="4" w:space="0" w:color="auto"/>
              <w:right w:val="single" w:sz="4" w:space="0" w:color="auto"/>
            </w:tcBorders>
            <w:shd w:val="clear" w:color="auto" w:fill="auto"/>
            <w:noWrap/>
            <w:vAlign w:val="bottom"/>
            <w:hideMark/>
          </w:tcPr>
          <w:p w14:paraId="51397447"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1326622</w:t>
            </w:r>
          </w:p>
        </w:tc>
        <w:tc>
          <w:tcPr>
            <w:tcW w:w="1030" w:type="dxa"/>
            <w:tcBorders>
              <w:top w:val="nil"/>
              <w:left w:val="nil"/>
              <w:bottom w:val="single" w:sz="4" w:space="0" w:color="auto"/>
              <w:right w:val="single" w:sz="4" w:space="0" w:color="auto"/>
            </w:tcBorders>
            <w:shd w:val="clear" w:color="auto" w:fill="auto"/>
            <w:noWrap/>
            <w:vAlign w:val="bottom"/>
            <w:hideMark/>
          </w:tcPr>
          <w:p w14:paraId="242EB231"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1391096</w:t>
            </w:r>
          </w:p>
        </w:tc>
        <w:tc>
          <w:tcPr>
            <w:tcW w:w="1171" w:type="dxa"/>
            <w:tcBorders>
              <w:top w:val="nil"/>
              <w:left w:val="nil"/>
              <w:bottom w:val="single" w:sz="4" w:space="0" w:color="auto"/>
              <w:right w:val="single" w:sz="4" w:space="0" w:color="auto"/>
            </w:tcBorders>
            <w:shd w:val="clear" w:color="auto" w:fill="auto"/>
            <w:noWrap/>
            <w:vAlign w:val="bottom"/>
            <w:hideMark/>
          </w:tcPr>
          <w:p w14:paraId="2E76D8F2"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2717718</w:t>
            </w:r>
          </w:p>
        </w:tc>
        <w:tc>
          <w:tcPr>
            <w:tcW w:w="1596" w:type="dxa"/>
            <w:tcBorders>
              <w:top w:val="nil"/>
              <w:left w:val="nil"/>
              <w:bottom w:val="single" w:sz="4" w:space="0" w:color="auto"/>
              <w:right w:val="single" w:sz="4" w:space="0" w:color="auto"/>
            </w:tcBorders>
            <w:shd w:val="clear" w:color="auto" w:fill="auto"/>
            <w:noWrap/>
            <w:vAlign w:val="bottom"/>
            <w:hideMark/>
          </w:tcPr>
          <w:p w14:paraId="206D78E8"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Eastern Cape</w:t>
            </w:r>
          </w:p>
        </w:tc>
        <w:tc>
          <w:tcPr>
            <w:tcW w:w="815" w:type="dxa"/>
            <w:tcBorders>
              <w:top w:val="nil"/>
              <w:left w:val="nil"/>
              <w:bottom w:val="single" w:sz="4" w:space="0" w:color="auto"/>
              <w:right w:val="single" w:sz="4" w:space="0" w:color="auto"/>
            </w:tcBorders>
            <w:shd w:val="clear" w:color="auto" w:fill="auto"/>
            <w:noWrap/>
            <w:vAlign w:val="bottom"/>
            <w:hideMark/>
          </w:tcPr>
          <w:p w14:paraId="22C43094"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48,8</w:t>
            </w:r>
          </w:p>
        </w:tc>
        <w:tc>
          <w:tcPr>
            <w:tcW w:w="939" w:type="dxa"/>
            <w:tcBorders>
              <w:top w:val="nil"/>
              <w:left w:val="nil"/>
              <w:bottom w:val="single" w:sz="4" w:space="0" w:color="auto"/>
              <w:right w:val="single" w:sz="4" w:space="0" w:color="auto"/>
            </w:tcBorders>
            <w:shd w:val="clear" w:color="auto" w:fill="auto"/>
            <w:noWrap/>
            <w:vAlign w:val="bottom"/>
            <w:hideMark/>
          </w:tcPr>
          <w:p w14:paraId="5B885E81"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51,2</w:t>
            </w:r>
          </w:p>
        </w:tc>
        <w:tc>
          <w:tcPr>
            <w:tcW w:w="717" w:type="dxa"/>
            <w:tcBorders>
              <w:top w:val="nil"/>
              <w:left w:val="nil"/>
              <w:bottom w:val="single" w:sz="4" w:space="0" w:color="auto"/>
              <w:right w:val="single" w:sz="4" w:space="0" w:color="auto"/>
            </w:tcBorders>
            <w:shd w:val="clear" w:color="auto" w:fill="auto"/>
            <w:noWrap/>
            <w:vAlign w:val="bottom"/>
            <w:hideMark/>
          </w:tcPr>
          <w:p w14:paraId="199E524F"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100,0</w:t>
            </w:r>
          </w:p>
        </w:tc>
      </w:tr>
      <w:tr w:rsidR="00F14D40" w:rsidRPr="00D00FBB" w14:paraId="396FC478" w14:textId="77777777" w:rsidTr="001D5997">
        <w:trPr>
          <w:trHeight w:val="255"/>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14:paraId="452CB5B3" w14:textId="77777777" w:rsidR="00F14D40" w:rsidRPr="00D00FBB" w:rsidRDefault="00F14D40" w:rsidP="00413A3E">
            <w:pPr>
              <w:rPr>
                <w:rFonts w:ascii="Arial" w:hAnsi="Arial" w:cs="Arial"/>
                <w:sz w:val="20"/>
                <w:szCs w:val="20"/>
              </w:rPr>
            </w:pPr>
            <w:r w:rsidRPr="00D00FBB">
              <w:rPr>
                <w:rFonts w:ascii="Arial" w:hAnsi="Arial" w:cs="Arial"/>
                <w:sz w:val="20"/>
                <w:szCs w:val="20"/>
              </w:rPr>
              <w:t>Northern Cape</w:t>
            </w:r>
          </w:p>
        </w:tc>
        <w:tc>
          <w:tcPr>
            <w:tcW w:w="1030" w:type="dxa"/>
            <w:tcBorders>
              <w:top w:val="nil"/>
              <w:left w:val="nil"/>
              <w:bottom w:val="single" w:sz="4" w:space="0" w:color="auto"/>
              <w:right w:val="single" w:sz="4" w:space="0" w:color="auto"/>
            </w:tcBorders>
            <w:shd w:val="clear" w:color="auto" w:fill="auto"/>
            <w:noWrap/>
            <w:vAlign w:val="bottom"/>
            <w:hideMark/>
          </w:tcPr>
          <w:p w14:paraId="5F437CA0"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207972</w:t>
            </w:r>
          </w:p>
        </w:tc>
        <w:tc>
          <w:tcPr>
            <w:tcW w:w="1030" w:type="dxa"/>
            <w:tcBorders>
              <w:top w:val="nil"/>
              <w:left w:val="nil"/>
              <w:bottom w:val="single" w:sz="4" w:space="0" w:color="auto"/>
              <w:right w:val="single" w:sz="4" w:space="0" w:color="auto"/>
            </w:tcBorders>
            <w:shd w:val="clear" w:color="auto" w:fill="auto"/>
            <w:noWrap/>
            <w:vAlign w:val="bottom"/>
            <w:hideMark/>
          </w:tcPr>
          <w:p w14:paraId="3B10F5D8"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246931</w:t>
            </w:r>
          </w:p>
        </w:tc>
        <w:tc>
          <w:tcPr>
            <w:tcW w:w="1171" w:type="dxa"/>
            <w:tcBorders>
              <w:top w:val="nil"/>
              <w:left w:val="nil"/>
              <w:bottom w:val="single" w:sz="4" w:space="0" w:color="auto"/>
              <w:right w:val="single" w:sz="4" w:space="0" w:color="auto"/>
            </w:tcBorders>
            <w:shd w:val="clear" w:color="auto" w:fill="auto"/>
            <w:noWrap/>
            <w:vAlign w:val="bottom"/>
            <w:hideMark/>
          </w:tcPr>
          <w:p w14:paraId="14B432A4"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454903</w:t>
            </w:r>
          </w:p>
        </w:tc>
        <w:tc>
          <w:tcPr>
            <w:tcW w:w="1596" w:type="dxa"/>
            <w:tcBorders>
              <w:top w:val="nil"/>
              <w:left w:val="nil"/>
              <w:bottom w:val="single" w:sz="4" w:space="0" w:color="auto"/>
              <w:right w:val="single" w:sz="4" w:space="0" w:color="auto"/>
            </w:tcBorders>
            <w:shd w:val="clear" w:color="auto" w:fill="auto"/>
            <w:noWrap/>
            <w:vAlign w:val="bottom"/>
            <w:hideMark/>
          </w:tcPr>
          <w:p w14:paraId="600788E1"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Northern Cape</w:t>
            </w:r>
          </w:p>
        </w:tc>
        <w:tc>
          <w:tcPr>
            <w:tcW w:w="815" w:type="dxa"/>
            <w:tcBorders>
              <w:top w:val="nil"/>
              <w:left w:val="nil"/>
              <w:bottom w:val="single" w:sz="4" w:space="0" w:color="auto"/>
              <w:right w:val="single" w:sz="4" w:space="0" w:color="auto"/>
            </w:tcBorders>
            <w:shd w:val="clear" w:color="auto" w:fill="auto"/>
            <w:noWrap/>
            <w:vAlign w:val="bottom"/>
            <w:hideMark/>
          </w:tcPr>
          <w:p w14:paraId="1C1B0EA2"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45,7</w:t>
            </w:r>
          </w:p>
        </w:tc>
        <w:tc>
          <w:tcPr>
            <w:tcW w:w="939" w:type="dxa"/>
            <w:tcBorders>
              <w:top w:val="nil"/>
              <w:left w:val="nil"/>
              <w:bottom w:val="single" w:sz="4" w:space="0" w:color="auto"/>
              <w:right w:val="single" w:sz="4" w:space="0" w:color="auto"/>
            </w:tcBorders>
            <w:shd w:val="clear" w:color="auto" w:fill="auto"/>
            <w:noWrap/>
            <w:vAlign w:val="bottom"/>
            <w:hideMark/>
          </w:tcPr>
          <w:p w14:paraId="550D3019"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54,3</w:t>
            </w:r>
          </w:p>
        </w:tc>
        <w:tc>
          <w:tcPr>
            <w:tcW w:w="717" w:type="dxa"/>
            <w:tcBorders>
              <w:top w:val="nil"/>
              <w:left w:val="nil"/>
              <w:bottom w:val="single" w:sz="4" w:space="0" w:color="auto"/>
              <w:right w:val="single" w:sz="4" w:space="0" w:color="auto"/>
            </w:tcBorders>
            <w:shd w:val="clear" w:color="auto" w:fill="auto"/>
            <w:noWrap/>
            <w:vAlign w:val="bottom"/>
            <w:hideMark/>
          </w:tcPr>
          <w:p w14:paraId="75FB015A"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100,0</w:t>
            </w:r>
          </w:p>
        </w:tc>
      </w:tr>
      <w:tr w:rsidR="00F14D40" w:rsidRPr="00D00FBB" w14:paraId="38914E6C" w14:textId="77777777" w:rsidTr="001D5997">
        <w:trPr>
          <w:trHeight w:val="255"/>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14:paraId="0FD1034B" w14:textId="77777777" w:rsidR="00F14D40" w:rsidRPr="00D00FBB" w:rsidRDefault="00F14D40" w:rsidP="00413A3E">
            <w:pPr>
              <w:rPr>
                <w:rFonts w:ascii="Arial" w:hAnsi="Arial" w:cs="Arial"/>
                <w:sz w:val="20"/>
                <w:szCs w:val="20"/>
              </w:rPr>
            </w:pPr>
            <w:r w:rsidRPr="00D00FBB">
              <w:rPr>
                <w:rFonts w:ascii="Arial" w:hAnsi="Arial" w:cs="Arial"/>
                <w:sz w:val="20"/>
                <w:szCs w:val="20"/>
              </w:rPr>
              <w:t>Free State</w:t>
            </w:r>
          </w:p>
        </w:tc>
        <w:tc>
          <w:tcPr>
            <w:tcW w:w="1030" w:type="dxa"/>
            <w:tcBorders>
              <w:top w:val="nil"/>
              <w:left w:val="nil"/>
              <w:bottom w:val="single" w:sz="4" w:space="0" w:color="auto"/>
              <w:right w:val="single" w:sz="4" w:space="0" w:color="auto"/>
            </w:tcBorders>
            <w:shd w:val="clear" w:color="auto" w:fill="auto"/>
            <w:noWrap/>
            <w:vAlign w:val="bottom"/>
            <w:hideMark/>
          </w:tcPr>
          <w:p w14:paraId="60780399"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451352</w:t>
            </w:r>
          </w:p>
        </w:tc>
        <w:tc>
          <w:tcPr>
            <w:tcW w:w="1030" w:type="dxa"/>
            <w:tcBorders>
              <w:top w:val="nil"/>
              <w:left w:val="nil"/>
              <w:bottom w:val="single" w:sz="4" w:space="0" w:color="auto"/>
              <w:right w:val="single" w:sz="4" w:space="0" w:color="auto"/>
            </w:tcBorders>
            <w:shd w:val="clear" w:color="auto" w:fill="auto"/>
            <w:noWrap/>
            <w:vAlign w:val="bottom"/>
            <w:hideMark/>
          </w:tcPr>
          <w:p w14:paraId="772EFCFD"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519408</w:t>
            </w:r>
          </w:p>
        </w:tc>
        <w:tc>
          <w:tcPr>
            <w:tcW w:w="1171" w:type="dxa"/>
            <w:tcBorders>
              <w:top w:val="nil"/>
              <w:left w:val="nil"/>
              <w:bottom w:val="single" w:sz="4" w:space="0" w:color="auto"/>
              <w:right w:val="single" w:sz="4" w:space="0" w:color="auto"/>
            </w:tcBorders>
            <w:shd w:val="clear" w:color="auto" w:fill="auto"/>
            <w:noWrap/>
            <w:vAlign w:val="bottom"/>
            <w:hideMark/>
          </w:tcPr>
          <w:p w14:paraId="60AC7224"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970759</w:t>
            </w:r>
          </w:p>
        </w:tc>
        <w:tc>
          <w:tcPr>
            <w:tcW w:w="1596" w:type="dxa"/>
            <w:tcBorders>
              <w:top w:val="nil"/>
              <w:left w:val="nil"/>
              <w:bottom w:val="single" w:sz="4" w:space="0" w:color="auto"/>
              <w:right w:val="single" w:sz="4" w:space="0" w:color="auto"/>
            </w:tcBorders>
            <w:shd w:val="clear" w:color="auto" w:fill="auto"/>
            <w:noWrap/>
            <w:vAlign w:val="bottom"/>
            <w:hideMark/>
          </w:tcPr>
          <w:p w14:paraId="52A3AF36"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Free State</w:t>
            </w:r>
          </w:p>
        </w:tc>
        <w:tc>
          <w:tcPr>
            <w:tcW w:w="815" w:type="dxa"/>
            <w:tcBorders>
              <w:top w:val="nil"/>
              <w:left w:val="nil"/>
              <w:bottom w:val="single" w:sz="4" w:space="0" w:color="auto"/>
              <w:right w:val="single" w:sz="4" w:space="0" w:color="auto"/>
            </w:tcBorders>
            <w:shd w:val="clear" w:color="auto" w:fill="auto"/>
            <w:noWrap/>
            <w:vAlign w:val="bottom"/>
            <w:hideMark/>
          </w:tcPr>
          <w:p w14:paraId="6C85862D"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46,5</w:t>
            </w:r>
          </w:p>
        </w:tc>
        <w:tc>
          <w:tcPr>
            <w:tcW w:w="939" w:type="dxa"/>
            <w:tcBorders>
              <w:top w:val="nil"/>
              <w:left w:val="nil"/>
              <w:bottom w:val="single" w:sz="4" w:space="0" w:color="auto"/>
              <w:right w:val="single" w:sz="4" w:space="0" w:color="auto"/>
            </w:tcBorders>
            <w:shd w:val="clear" w:color="auto" w:fill="auto"/>
            <w:noWrap/>
            <w:vAlign w:val="bottom"/>
            <w:hideMark/>
          </w:tcPr>
          <w:p w14:paraId="59796B33"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53,5</w:t>
            </w:r>
          </w:p>
        </w:tc>
        <w:tc>
          <w:tcPr>
            <w:tcW w:w="717" w:type="dxa"/>
            <w:tcBorders>
              <w:top w:val="nil"/>
              <w:left w:val="nil"/>
              <w:bottom w:val="single" w:sz="4" w:space="0" w:color="auto"/>
              <w:right w:val="single" w:sz="4" w:space="0" w:color="auto"/>
            </w:tcBorders>
            <w:shd w:val="clear" w:color="auto" w:fill="auto"/>
            <w:noWrap/>
            <w:vAlign w:val="bottom"/>
            <w:hideMark/>
          </w:tcPr>
          <w:p w14:paraId="2212714D"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100,0</w:t>
            </w:r>
          </w:p>
        </w:tc>
      </w:tr>
      <w:tr w:rsidR="00F14D40" w:rsidRPr="00D00FBB" w14:paraId="25429C3B" w14:textId="77777777" w:rsidTr="001D5997">
        <w:trPr>
          <w:trHeight w:val="255"/>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14:paraId="397A4898" w14:textId="77777777" w:rsidR="00F14D40" w:rsidRPr="00D00FBB" w:rsidRDefault="00F14D40" w:rsidP="00413A3E">
            <w:pPr>
              <w:rPr>
                <w:rFonts w:ascii="Arial" w:hAnsi="Arial" w:cs="Arial"/>
                <w:sz w:val="20"/>
                <w:szCs w:val="20"/>
              </w:rPr>
            </w:pPr>
            <w:r w:rsidRPr="00D00FBB">
              <w:rPr>
                <w:rFonts w:ascii="Arial" w:hAnsi="Arial" w:cs="Arial"/>
                <w:sz w:val="20"/>
                <w:szCs w:val="20"/>
              </w:rPr>
              <w:t>KwaZulu-Natal</w:t>
            </w:r>
          </w:p>
        </w:tc>
        <w:tc>
          <w:tcPr>
            <w:tcW w:w="1030" w:type="dxa"/>
            <w:tcBorders>
              <w:top w:val="nil"/>
              <w:left w:val="nil"/>
              <w:bottom w:val="single" w:sz="4" w:space="0" w:color="auto"/>
              <w:right w:val="single" w:sz="4" w:space="0" w:color="auto"/>
            </w:tcBorders>
            <w:shd w:val="clear" w:color="auto" w:fill="auto"/>
            <w:noWrap/>
            <w:vAlign w:val="bottom"/>
            <w:hideMark/>
          </w:tcPr>
          <w:p w14:paraId="233FD460"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1921713</w:t>
            </w:r>
          </w:p>
        </w:tc>
        <w:tc>
          <w:tcPr>
            <w:tcW w:w="1030" w:type="dxa"/>
            <w:tcBorders>
              <w:top w:val="nil"/>
              <w:left w:val="nil"/>
              <w:bottom w:val="single" w:sz="4" w:space="0" w:color="auto"/>
              <w:right w:val="single" w:sz="4" w:space="0" w:color="auto"/>
            </w:tcBorders>
            <w:shd w:val="clear" w:color="auto" w:fill="auto"/>
            <w:noWrap/>
            <w:vAlign w:val="bottom"/>
            <w:hideMark/>
          </w:tcPr>
          <w:p w14:paraId="62C32297"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2110433</w:t>
            </w:r>
          </w:p>
        </w:tc>
        <w:tc>
          <w:tcPr>
            <w:tcW w:w="1171" w:type="dxa"/>
            <w:tcBorders>
              <w:top w:val="nil"/>
              <w:left w:val="nil"/>
              <w:bottom w:val="single" w:sz="4" w:space="0" w:color="auto"/>
              <w:right w:val="single" w:sz="4" w:space="0" w:color="auto"/>
            </w:tcBorders>
            <w:shd w:val="clear" w:color="auto" w:fill="auto"/>
            <w:noWrap/>
            <w:vAlign w:val="bottom"/>
            <w:hideMark/>
          </w:tcPr>
          <w:p w14:paraId="7312F223"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4032146</w:t>
            </w:r>
          </w:p>
        </w:tc>
        <w:tc>
          <w:tcPr>
            <w:tcW w:w="1596" w:type="dxa"/>
            <w:tcBorders>
              <w:top w:val="nil"/>
              <w:left w:val="nil"/>
              <w:bottom w:val="single" w:sz="4" w:space="0" w:color="auto"/>
              <w:right w:val="single" w:sz="4" w:space="0" w:color="auto"/>
            </w:tcBorders>
            <w:shd w:val="clear" w:color="auto" w:fill="auto"/>
            <w:noWrap/>
            <w:vAlign w:val="bottom"/>
            <w:hideMark/>
          </w:tcPr>
          <w:p w14:paraId="38E02F83"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KwaZulu-Natal</w:t>
            </w:r>
          </w:p>
        </w:tc>
        <w:tc>
          <w:tcPr>
            <w:tcW w:w="815" w:type="dxa"/>
            <w:tcBorders>
              <w:top w:val="nil"/>
              <w:left w:val="nil"/>
              <w:bottom w:val="single" w:sz="4" w:space="0" w:color="auto"/>
              <w:right w:val="single" w:sz="4" w:space="0" w:color="auto"/>
            </w:tcBorders>
            <w:shd w:val="clear" w:color="auto" w:fill="auto"/>
            <w:noWrap/>
            <w:vAlign w:val="bottom"/>
            <w:hideMark/>
          </w:tcPr>
          <w:p w14:paraId="0B8B85BE"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47,7</w:t>
            </w:r>
          </w:p>
        </w:tc>
        <w:tc>
          <w:tcPr>
            <w:tcW w:w="939" w:type="dxa"/>
            <w:tcBorders>
              <w:top w:val="nil"/>
              <w:left w:val="nil"/>
              <w:bottom w:val="single" w:sz="4" w:space="0" w:color="auto"/>
              <w:right w:val="single" w:sz="4" w:space="0" w:color="auto"/>
            </w:tcBorders>
            <w:shd w:val="clear" w:color="auto" w:fill="auto"/>
            <w:noWrap/>
            <w:vAlign w:val="bottom"/>
            <w:hideMark/>
          </w:tcPr>
          <w:p w14:paraId="029672A3"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52,3</w:t>
            </w:r>
          </w:p>
        </w:tc>
        <w:tc>
          <w:tcPr>
            <w:tcW w:w="717" w:type="dxa"/>
            <w:tcBorders>
              <w:top w:val="nil"/>
              <w:left w:val="nil"/>
              <w:bottom w:val="single" w:sz="4" w:space="0" w:color="auto"/>
              <w:right w:val="single" w:sz="4" w:space="0" w:color="auto"/>
            </w:tcBorders>
            <w:shd w:val="clear" w:color="auto" w:fill="auto"/>
            <w:noWrap/>
            <w:vAlign w:val="bottom"/>
            <w:hideMark/>
          </w:tcPr>
          <w:p w14:paraId="60B89BEC" w14:textId="77777777" w:rsidR="00F14D40" w:rsidRPr="00D00FBB" w:rsidRDefault="00F14D40" w:rsidP="00413A3E">
            <w:pPr>
              <w:jc w:val="center"/>
              <w:rPr>
                <w:rFonts w:ascii="Arial" w:hAnsi="Arial" w:cs="Arial"/>
                <w:sz w:val="20"/>
                <w:szCs w:val="20"/>
              </w:rPr>
            </w:pPr>
            <w:r w:rsidRPr="00D00FBB">
              <w:rPr>
                <w:rFonts w:ascii="Arial" w:hAnsi="Arial" w:cs="Arial"/>
                <w:sz w:val="20"/>
                <w:szCs w:val="20"/>
              </w:rPr>
              <w:t>100,0</w:t>
            </w:r>
          </w:p>
        </w:tc>
      </w:tr>
      <w:tr w:rsidR="00F14D40" w:rsidRPr="00D00FBB" w14:paraId="039BBBC9" w14:textId="77777777" w:rsidTr="001D5997">
        <w:trPr>
          <w:trHeight w:val="255"/>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14:paraId="077058B5" w14:textId="77777777" w:rsidR="00F14D40" w:rsidRPr="00D00FBB" w:rsidRDefault="00F14D40" w:rsidP="00413A3E">
            <w:pPr>
              <w:rPr>
                <w:rFonts w:ascii="Arial" w:hAnsi="Arial" w:cs="Arial"/>
                <w:sz w:val="20"/>
                <w:szCs w:val="20"/>
              </w:rPr>
            </w:pPr>
            <w:r w:rsidRPr="00D00FBB">
              <w:rPr>
                <w:rFonts w:ascii="Arial" w:hAnsi="Arial" w:cs="Arial"/>
                <w:sz w:val="20"/>
                <w:szCs w:val="20"/>
              </w:rPr>
              <w:t>North West</w:t>
            </w:r>
          </w:p>
        </w:tc>
        <w:tc>
          <w:tcPr>
            <w:tcW w:w="1030" w:type="dxa"/>
            <w:tcBorders>
              <w:top w:val="nil"/>
              <w:left w:val="nil"/>
              <w:bottom w:val="single" w:sz="4" w:space="0" w:color="auto"/>
              <w:right w:val="single" w:sz="4" w:space="0" w:color="auto"/>
            </w:tcBorders>
            <w:shd w:val="clear" w:color="auto" w:fill="auto"/>
            <w:noWrap/>
            <w:vAlign w:val="bottom"/>
            <w:hideMark/>
          </w:tcPr>
          <w:p w14:paraId="7C07BFFD" w14:textId="77777777" w:rsidR="00F14D40" w:rsidRPr="00D00FBB" w:rsidRDefault="00F14D40" w:rsidP="00413A3E">
            <w:pPr>
              <w:rPr>
                <w:rFonts w:ascii="Arial" w:hAnsi="Arial" w:cs="Arial"/>
                <w:sz w:val="20"/>
                <w:szCs w:val="20"/>
              </w:rPr>
            </w:pPr>
            <w:r w:rsidRPr="00D00FBB">
              <w:rPr>
                <w:rFonts w:ascii="Arial" w:hAnsi="Arial" w:cs="Arial"/>
                <w:sz w:val="20"/>
                <w:szCs w:val="20"/>
              </w:rPr>
              <w:t>603898</w:t>
            </w:r>
          </w:p>
        </w:tc>
        <w:tc>
          <w:tcPr>
            <w:tcW w:w="1030" w:type="dxa"/>
            <w:tcBorders>
              <w:top w:val="nil"/>
              <w:left w:val="nil"/>
              <w:bottom w:val="single" w:sz="4" w:space="0" w:color="auto"/>
              <w:right w:val="single" w:sz="4" w:space="0" w:color="auto"/>
            </w:tcBorders>
            <w:shd w:val="clear" w:color="auto" w:fill="auto"/>
            <w:noWrap/>
            <w:vAlign w:val="bottom"/>
            <w:hideMark/>
          </w:tcPr>
          <w:p w14:paraId="505D3B81" w14:textId="77777777" w:rsidR="00F14D40" w:rsidRPr="00D00FBB" w:rsidRDefault="00F14D40" w:rsidP="00413A3E">
            <w:pPr>
              <w:rPr>
                <w:rFonts w:ascii="Arial" w:hAnsi="Arial" w:cs="Arial"/>
                <w:sz w:val="20"/>
                <w:szCs w:val="20"/>
              </w:rPr>
            </w:pPr>
            <w:r w:rsidRPr="00D00FBB">
              <w:rPr>
                <w:rFonts w:ascii="Arial" w:hAnsi="Arial" w:cs="Arial"/>
                <w:sz w:val="20"/>
                <w:szCs w:val="20"/>
              </w:rPr>
              <w:t>691850</w:t>
            </w:r>
          </w:p>
        </w:tc>
        <w:tc>
          <w:tcPr>
            <w:tcW w:w="1171" w:type="dxa"/>
            <w:tcBorders>
              <w:top w:val="nil"/>
              <w:left w:val="nil"/>
              <w:bottom w:val="single" w:sz="4" w:space="0" w:color="auto"/>
              <w:right w:val="single" w:sz="4" w:space="0" w:color="auto"/>
            </w:tcBorders>
            <w:shd w:val="clear" w:color="auto" w:fill="auto"/>
            <w:noWrap/>
            <w:vAlign w:val="bottom"/>
            <w:hideMark/>
          </w:tcPr>
          <w:p w14:paraId="23C0A19A" w14:textId="77777777" w:rsidR="00F14D40" w:rsidRPr="00D00FBB" w:rsidRDefault="00F14D40" w:rsidP="00413A3E">
            <w:pPr>
              <w:rPr>
                <w:rFonts w:ascii="Arial" w:hAnsi="Arial" w:cs="Arial"/>
                <w:sz w:val="20"/>
                <w:szCs w:val="20"/>
              </w:rPr>
            </w:pPr>
            <w:r w:rsidRPr="00D00FBB">
              <w:rPr>
                <w:rFonts w:ascii="Arial" w:hAnsi="Arial" w:cs="Arial"/>
                <w:sz w:val="20"/>
                <w:szCs w:val="20"/>
              </w:rPr>
              <w:t>1295748</w:t>
            </w:r>
          </w:p>
        </w:tc>
        <w:tc>
          <w:tcPr>
            <w:tcW w:w="1596" w:type="dxa"/>
            <w:tcBorders>
              <w:top w:val="nil"/>
              <w:left w:val="nil"/>
              <w:bottom w:val="single" w:sz="4" w:space="0" w:color="auto"/>
              <w:right w:val="single" w:sz="4" w:space="0" w:color="auto"/>
            </w:tcBorders>
            <w:shd w:val="clear" w:color="auto" w:fill="auto"/>
            <w:noWrap/>
            <w:vAlign w:val="bottom"/>
            <w:hideMark/>
          </w:tcPr>
          <w:p w14:paraId="30044D57" w14:textId="77777777" w:rsidR="00F14D40" w:rsidRPr="00D00FBB" w:rsidRDefault="00F14D40" w:rsidP="00413A3E">
            <w:pPr>
              <w:rPr>
                <w:rFonts w:ascii="Arial" w:hAnsi="Arial" w:cs="Arial"/>
                <w:sz w:val="20"/>
                <w:szCs w:val="20"/>
              </w:rPr>
            </w:pPr>
            <w:r w:rsidRPr="00D00FBB">
              <w:rPr>
                <w:rFonts w:ascii="Arial" w:hAnsi="Arial" w:cs="Arial"/>
                <w:sz w:val="20"/>
                <w:szCs w:val="20"/>
              </w:rPr>
              <w:t>North West</w:t>
            </w:r>
          </w:p>
        </w:tc>
        <w:tc>
          <w:tcPr>
            <w:tcW w:w="815" w:type="dxa"/>
            <w:tcBorders>
              <w:top w:val="nil"/>
              <w:left w:val="nil"/>
              <w:bottom w:val="single" w:sz="4" w:space="0" w:color="auto"/>
              <w:right w:val="single" w:sz="4" w:space="0" w:color="auto"/>
            </w:tcBorders>
            <w:shd w:val="clear" w:color="auto" w:fill="auto"/>
            <w:noWrap/>
            <w:vAlign w:val="bottom"/>
            <w:hideMark/>
          </w:tcPr>
          <w:p w14:paraId="3017C585" w14:textId="77777777" w:rsidR="00F14D40" w:rsidRPr="00D00FBB" w:rsidRDefault="00F14D40" w:rsidP="00413A3E">
            <w:pPr>
              <w:rPr>
                <w:rFonts w:ascii="Arial" w:hAnsi="Arial" w:cs="Arial"/>
                <w:sz w:val="20"/>
                <w:szCs w:val="20"/>
              </w:rPr>
            </w:pPr>
            <w:r w:rsidRPr="00D00FBB">
              <w:rPr>
                <w:rFonts w:ascii="Arial" w:hAnsi="Arial" w:cs="Arial"/>
                <w:sz w:val="20"/>
                <w:szCs w:val="20"/>
              </w:rPr>
              <w:t>46,6</w:t>
            </w:r>
          </w:p>
        </w:tc>
        <w:tc>
          <w:tcPr>
            <w:tcW w:w="939" w:type="dxa"/>
            <w:tcBorders>
              <w:top w:val="nil"/>
              <w:left w:val="nil"/>
              <w:bottom w:val="single" w:sz="4" w:space="0" w:color="auto"/>
              <w:right w:val="single" w:sz="4" w:space="0" w:color="auto"/>
            </w:tcBorders>
            <w:shd w:val="clear" w:color="auto" w:fill="auto"/>
            <w:noWrap/>
            <w:vAlign w:val="bottom"/>
            <w:hideMark/>
          </w:tcPr>
          <w:p w14:paraId="1B013AAA" w14:textId="77777777" w:rsidR="00F14D40" w:rsidRPr="00D00FBB" w:rsidRDefault="00F14D40" w:rsidP="00413A3E">
            <w:pPr>
              <w:rPr>
                <w:rFonts w:ascii="Arial" w:hAnsi="Arial" w:cs="Arial"/>
                <w:sz w:val="20"/>
                <w:szCs w:val="20"/>
              </w:rPr>
            </w:pPr>
            <w:r w:rsidRPr="00D00FBB">
              <w:rPr>
                <w:rFonts w:ascii="Arial" w:hAnsi="Arial" w:cs="Arial"/>
                <w:sz w:val="20"/>
                <w:szCs w:val="20"/>
              </w:rPr>
              <w:t>53,4</w:t>
            </w:r>
          </w:p>
        </w:tc>
        <w:tc>
          <w:tcPr>
            <w:tcW w:w="717" w:type="dxa"/>
            <w:tcBorders>
              <w:top w:val="nil"/>
              <w:left w:val="nil"/>
              <w:bottom w:val="single" w:sz="4" w:space="0" w:color="auto"/>
              <w:right w:val="single" w:sz="4" w:space="0" w:color="auto"/>
            </w:tcBorders>
            <w:shd w:val="clear" w:color="auto" w:fill="auto"/>
            <w:noWrap/>
            <w:vAlign w:val="bottom"/>
            <w:hideMark/>
          </w:tcPr>
          <w:p w14:paraId="193439D7" w14:textId="77777777" w:rsidR="00F14D40" w:rsidRPr="00D00FBB" w:rsidRDefault="00F14D40" w:rsidP="00413A3E">
            <w:pPr>
              <w:rPr>
                <w:rFonts w:ascii="Arial" w:hAnsi="Arial" w:cs="Arial"/>
                <w:sz w:val="20"/>
                <w:szCs w:val="20"/>
              </w:rPr>
            </w:pPr>
            <w:r w:rsidRPr="00D00FBB">
              <w:rPr>
                <w:rFonts w:ascii="Arial" w:hAnsi="Arial" w:cs="Arial"/>
                <w:sz w:val="20"/>
                <w:szCs w:val="20"/>
              </w:rPr>
              <w:t>100,0</w:t>
            </w:r>
          </w:p>
        </w:tc>
      </w:tr>
      <w:tr w:rsidR="00F14D40" w:rsidRPr="00D00FBB" w14:paraId="28CA5441" w14:textId="77777777" w:rsidTr="001D5997">
        <w:trPr>
          <w:trHeight w:val="255"/>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14:paraId="087FB6DC" w14:textId="77777777" w:rsidR="00F14D40" w:rsidRPr="00D00FBB" w:rsidRDefault="00F14D40" w:rsidP="00413A3E">
            <w:pPr>
              <w:rPr>
                <w:rFonts w:ascii="Arial" w:hAnsi="Arial" w:cs="Arial"/>
                <w:sz w:val="20"/>
                <w:szCs w:val="20"/>
              </w:rPr>
            </w:pPr>
            <w:r w:rsidRPr="00D00FBB">
              <w:rPr>
                <w:rFonts w:ascii="Arial" w:hAnsi="Arial" w:cs="Arial"/>
                <w:sz w:val="20"/>
                <w:szCs w:val="20"/>
              </w:rPr>
              <w:t>Gauteng</w:t>
            </w:r>
          </w:p>
        </w:tc>
        <w:tc>
          <w:tcPr>
            <w:tcW w:w="1030" w:type="dxa"/>
            <w:tcBorders>
              <w:top w:val="nil"/>
              <w:left w:val="nil"/>
              <w:bottom w:val="single" w:sz="4" w:space="0" w:color="auto"/>
              <w:right w:val="single" w:sz="4" w:space="0" w:color="auto"/>
            </w:tcBorders>
            <w:shd w:val="clear" w:color="auto" w:fill="auto"/>
            <w:noWrap/>
            <w:vAlign w:val="bottom"/>
            <w:hideMark/>
          </w:tcPr>
          <w:p w14:paraId="2696C92D" w14:textId="77777777" w:rsidR="00F14D40" w:rsidRPr="00D00FBB" w:rsidRDefault="00F14D40" w:rsidP="00413A3E">
            <w:pPr>
              <w:rPr>
                <w:rFonts w:ascii="Arial" w:hAnsi="Arial" w:cs="Arial"/>
                <w:sz w:val="20"/>
                <w:szCs w:val="20"/>
              </w:rPr>
            </w:pPr>
            <w:r w:rsidRPr="00D00FBB">
              <w:rPr>
                <w:rFonts w:ascii="Arial" w:hAnsi="Arial" w:cs="Arial"/>
                <w:sz w:val="20"/>
                <w:szCs w:val="20"/>
              </w:rPr>
              <w:t>1242639</w:t>
            </w:r>
          </w:p>
        </w:tc>
        <w:tc>
          <w:tcPr>
            <w:tcW w:w="1030" w:type="dxa"/>
            <w:tcBorders>
              <w:top w:val="nil"/>
              <w:left w:val="nil"/>
              <w:bottom w:val="single" w:sz="4" w:space="0" w:color="auto"/>
              <w:right w:val="single" w:sz="4" w:space="0" w:color="auto"/>
            </w:tcBorders>
            <w:shd w:val="clear" w:color="auto" w:fill="auto"/>
            <w:noWrap/>
            <w:vAlign w:val="bottom"/>
            <w:hideMark/>
          </w:tcPr>
          <w:p w14:paraId="01B0801E" w14:textId="77777777" w:rsidR="00F14D40" w:rsidRPr="00D00FBB" w:rsidRDefault="00F14D40" w:rsidP="00413A3E">
            <w:pPr>
              <w:rPr>
                <w:rFonts w:ascii="Arial" w:hAnsi="Arial" w:cs="Arial"/>
                <w:sz w:val="20"/>
                <w:szCs w:val="20"/>
              </w:rPr>
            </w:pPr>
            <w:r w:rsidRPr="00D00FBB">
              <w:rPr>
                <w:rFonts w:ascii="Arial" w:hAnsi="Arial" w:cs="Arial"/>
                <w:sz w:val="20"/>
                <w:szCs w:val="20"/>
              </w:rPr>
              <w:t>1433136</w:t>
            </w:r>
          </w:p>
        </w:tc>
        <w:tc>
          <w:tcPr>
            <w:tcW w:w="1171" w:type="dxa"/>
            <w:tcBorders>
              <w:top w:val="nil"/>
              <w:left w:val="nil"/>
              <w:bottom w:val="single" w:sz="4" w:space="0" w:color="auto"/>
              <w:right w:val="single" w:sz="4" w:space="0" w:color="auto"/>
            </w:tcBorders>
            <w:shd w:val="clear" w:color="auto" w:fill="auto"/>
            <w:noWrap/>
            <w:vAlign w:val="bottom"/>
            <w:hideMark/>
          </w:tcPr>
          <w:p w14:paraId="6B2FBE49" w14:textId="77777777" w:rsidR="00F14D40" w:rsidRPr="00D00FBB" w:rsidRDefault="00F14D40" w:rsidP="00413A3E">
            <w:pPr>
              <w:rPr>
                <w:rFonts w:ascii="Arial" w:hAnsi="Arial" w:cs="Arial"/>
                <w:sz w:val="20"/>
                <w:szCs w:val="20"/>
              </w:rPr>
            </w:pPr>
            <w:r w:rsidRPr="00D00FBB">
              <w:rPr>
                <w:rFonts w:ascii="Arial" w:hAnsi="Arial" w:cs="Arial"/>
                <w:sz w:val="20"/>
                <w:szCs w:val="20"/>
              </w:rPr>
              <w:t>2675775</w:t>
            </w:r>
          </w:p>
        </w:tc>
        <w:tc>
          <w:tcPr>
            <w:tcW w:w="1596" w:type="dxa"/>
            <w:tcBorders>
              <w:top w:val="nil"/>
              <w:left w:val="nil"/>
              <w:bottom w:val="single" w:sz="4" w:space="0" w:color="auto"/>
              <w:right w:val="single" w:sz="4" w:space="0" w:color="auto"/>
            </w:tcBorders>
            <w:shd w:val="clear" w:color="auto" w:fill="auto"/>
            <w:noWrap/>
            <w:vAlign w:val="bottom"/>
            <w:hideMark/>
          </w:tcPr>
          <w:p w14:paraId="21A3E9FD" w14:textId="77777777" w:rsidR="00F14D40" w:rsidRPr="00D00FBB" w:rsidRDefault="00F14D40" w:rsidP="00413A3E">
            <w:pPr>
              <w:rPr>
                <w:rFonts w:ascii="Arial" w:hAnsi="Arial" w:cs="Arial"/>
                <w:sz w:val="20"/>
                <w:szCs w:val="20"/>
              </w:rPr>
            </w:pPr>
            <w:r w:rsidRPr="00D00FBB">
              <w:rPr>
                <w:rFonts w:ascii="Arial" w:hAnsi="Arial" w:cs="Arial"/>
                <w:sz w:val="20"/>
                <w:szCs w:val="20"/>
              </w:rPr>
              <w:t>Gauteng</w:t>
            </w:r>
          </w:p>
        </w:tc>
        <w:tc>
          <w:tcPr>
            <w:tcW w:w="815" w:type="dxa"/>
            <w:tcBorders>
              <w:top w:val="nil"/>
              <w:left w:val="nil"/>
              <w:bottom w:val="single" w:sz="4" w:space="0" w:color="auto"/>
              <w:right w:val="single" w:sz="4" w:space="0" w:color="auto"/>
            </w:tcBorders>
            <w:shd w:val="clear" w:color="auto" w:fill="auto"/>
            <w:noWrap/>
            <w:vAlign w:val="bottom"/>
            <w:hideMark/>
          </w:tcPr>
          <w:p w14:paraId="285455DE" w14:textId="77777777" w:rsidR="00F14D40" w:rsidRPr="00D00FBB" w:rsidRDefault="00F14D40" w:rsidP="00413A3E">
            <w:pPr>
              <w:rPr>
                <w:rFonts w:ascii="Arial" w:hAnsi="Arial" w:cs="Arial"/>
                <w:sz w:val="20"/>
                <w:szCs w:val="20"/>
              </w:rPr>
            </w:pPr>
            <w:r w:rsidRPr="00D00FBB">
              <w:rPr>
                <w:rFonts w:ascii="Arial" w:hAnsi="Arial" w:cs="Arial"/>
                <w:sz w:val="20"/>
                <w:szCs w:val="20"/>
              </w:rPr>
              <w:t>46,4</w:t>
            </w:r>
          </w:p>
        </w:tc>
        <w:tc>
          <w:tcPr>
            <w:tcW w:w="939" w:type="dxa"/>
            <w:tcBorders>
              <w:top w:val="nil"/>
              <w:left w:val="nil"/>
              <w:bottom w:val="single" w:sz="4" w:space="0" w:color="auto"/>
              <w:right w:val="single" w:sz="4" w:space="0" w:color="auto"/>
            </w:tcBorders>
            <w:shd w:val="clear" w:color="auto" w:fill="auto"/>
            <w:noWrap/>
            <w:vAlign w:val="bottom"/>
            <w:hideMark/>
          </w:tcPr>
          <w:p w14:paraId="466F0003" w14:textId="77777777" w:rsidR="00F14D40" w:rsidRPr="00D00FBB" w:rsidRDefault="00F14D40" w:rsidP="00413A3E">
            <w:pPr>
              <w:rPr>
                <w:rFonts w:ascii="Arial" w:hAnsi="Arial" w:cs="Arial"/>
                <w:sz w:val="20"/>
                <w:szCs w:val="20"/>
              </w:rPr>
            </w:pPr>
            <w:r w:rsidRPr="00D00FBB">
              <w:rPr>
                <w:rFonts w:ascii="Arial" w:hAnsi="Arial" w:cs="Arial"/>
                <w:sz w:val="20"/>
                <w:szCs w:val="20"/>
              </w:rPr>
              <w:t>53,6</w:t>
            </w:r>
          </w:p>
        </w:tc>
        <w:tc>
          <w:tcPr>
            <w:tcW w:w="717" w:type="dxa"/>
            <w:tcBorders>
              <w:top w:val="nil"/>
              <w:left w:val="nil"/>
              <w:bottom w:val="single" w:sz="4" w:space="0" w:color="auto"/>
              <w:right w:val="single" w:sz="4" w:space="0" w:color="auto"/>
            </w:tcBorders>
            <w:shd w:val="clear" w:color="auto" w:fill="auto"/>
            <w:noWrap/>
            <w:vAlign w:val="bottom"/>
            <w:hideMark/>
          </w:tcPr>
          <w:p w14:paraId="2B604F2E" w14:textId="77777777" w:rsidR="00F14D40" w:rsidRPr="00D00FBB" w:rsidRDefault="00F14D40" w:rsidP="00413A3E">
            <w:pPr>
              <w:rPr>
                <w:rFonts w:ascii="Arial" w:hAnsi="Arial" w:cs="Arial"/>
                <w:sz w:val="20"/>
                <w:szCs w:val="20"/>
              </w:rPr>
            </w:pPr>
            <w:r w:rsidRPr="00D00FBB">
              <w:rPr>
                <w:rFonts w:ascii="Arial" w:hAnsi="Arial" w:cs="Arial"/>
                <w:sz w:val="20"/>
                <w:szCs w:val="20"/>
              </w:rPr>
              <w:t>100,0</w:t>
            </w:r>
          </w:p>
        </w:tc>
      </w:tr>
      <w:tr w:rsidR="00F14D40" w:rsidRPr="00D00FBB" w14:paraId="7E34AFE2" w14:textId="77777777" w:rsidTr="001D5997">
        <w:trPr>
          <w:trHeight w:val="255"/>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14:paraId="750F1275" w14:textId="77777777" w:rsidR="00F14D40" w:rsidRPr="00D00FBB" w:rsidRDefault="00F14D40" w:rsidP="00413A3E">
            <w:pPr>
              <w:rPr>
                <w:rFonts w:ascii="Arial" w:hAnsi="Arial" w:cs="Arial"/>
                <w:sz w:val="20"/>
                <w:szCs w:val="20"/>
              </w:rPr>
            </w:pPr>
            <w:r w:rsidRPr="00D00FBB">
              <w:rPr>
                <w:rFonts w:ascii="Arial" w:hAnsi="Arial" w:cs="Arial"/>
                <w:sz w:val="20"/>
                <w:szCs w:val="20"/>
              </w:rPr>
              <w:t>Mpumalanga</w:t>
            </w:r>
          </w:p>
        </w:tc>
        <w:tc>
          <w:tcPr>
            <w:tcW w:w="1030" w:type="dxa"/>
            <w:tcBorders>
              <w:top w:val="nil"/>
              <w:left w:val="nil"/>
              <w:bottom w:val="single" w:sz="4" w:space="0" w:color="auto"/>
              <w:right w:val="single" w:sz="4" w:space="0" w:color="auto"/>
            </w:tcBorders>
            <w:shd w:val="clear" w:color="auto" w:fill="auto"/>
            <w:noWrap/>
            <w:vAlign w:val="bottom"/>
            <w:hideMark/>
          </w:tcPr>
          <w:p w14:paraId="5E441254" w14:textId="77777777" w:rsidR="00F14D40" w:rsidRPr="00D00FBB" w:rsidRDefault="00F14D40" w:rsidP="00413A3E">
            <w:pPr>
              <w:rPr>
                <w:rFonts w:ascii="Arial" w:hAnsi="Arial" w:cs="Arial"/>
                <w:sz w:val="20"/>
                <w:szCs w:val="20"/>
              </w:rPr>
            </w:pPr>
            <w:r w:rsidRPr="00D00FBB">
              <w:rPr>
                <w:rFonts w:ascii="Arial" w:hAnsi="Arial" w:cs="Arial"/>
                <w:sz w:val="20"/>
                <w:szCs w:val="20"/>
              </w:rPr>
              <w:t>688202</w:t>
            </w:r>
          </w:p>
        </w:tc>
        <w:tc>
          <w:tcPr>
            <w:tcW w:w="1030" w:type="dxa"/>
            <w:tcBorders>
              <w:top w:val="nil"/>
              <w:left w:val="nil"/>
              <w:bottom w:val="single" w:sz="4" w:space="0" w:color="auto"/>
              <w:right w:val="single" w:sz="4" w:space="0" w:color="auto"/>
            </w:tcBorders>
            <w:shd w:val="clear" w:color="auto" w:fill="auto"/>
            <w:noWrap/>
            <w:vAlign w:val="bottom"/>
            <w:hideMark/>
          </w:tcPr>
          <w:p w14:paraId="74801C38" w14:textId="77777777" w:rsidR="00F14D40" w:rsidRPr="00D00FBB" w:rsidRDefault="00F14D40" w:rsidP="00413A3E">
            <w:pPr>
              <w:rPr>
                <w:rFonts w:ascii="Arial" w:hAnsi="Arial" w:cs="Arial"/>
                <w:sz w:val="20"/>
                <w:szCs w:val="20"/>
              </w:rPr>
            </w:pPr>
            <w:r w:rsidRPr="00D00FBB">
              <w:rPr>
                <w:rFonts w:ascii="Arial" w:hAnsi="Arial" w:cs="Arial"/>
                <w:sz w:val="20"/>
                <w:szCs w:val="20"/>
              </w:rPr>
              <w:t>768389</w:t>
            </w:r>
          </w:p>
        </w:tc>
        <w:tc>
          <w:tcPr>
            <w:tcW w:w="1171" w:type="dxa"/>
            <w:tcBorders>
              <w:top w:val="nil"/>
              <w:left w:val="nil"/>
              <w:bottom w:val="single" w:sz="4" w:space="0" w:color="auto"/>
              <w:right w:val="single" w:sz="4" w:space="0" w:color="auto"/>
            </w:tcBorders>
            <w:shd w:val="clear" w:color="auto" w:fill="auto"/>
            <w:noWrap/>
            <w:vAlign w:val="bottom"/>
            <w:hideMark/>
          </w:tcPr>
          <w:p w14:paraId="71C78C46" w14:textId="77777777" w:rsidR="00F14D40" w:rsidRPr="00D00FBB" w:rsidRDefault="00F14D40" w:rsidP="00413A3E">
            <w:pPr>
              <w:rPr>
                <w:rFonts w:ascii="Arial" w:hAnsi="Arial" w:cs="Arial"/>
                <w:sz w:val="20"/>
                <w:szCs w:val="20"/>
              </w:rPr>
            </w:pPr>
            <w:r w:rsidRPr="00D00FBB">
              <w:rPr>
                <w:rFonts w:ascii="Arial" w:hAnsi="Arial" w:cs="Arial"/>
                <w:sz w:val="20"/>
                <w:szCs w:val="20"/>
              </w:rPr>
              <w:t>1456591</w:t>
            </w:r>
          </w:p>
        </w:tc>
        <w:tc>
          <w:tcPr>
            <w:tcW w:w="1596" w:type="dxa"/>
            <w:tcBorders>
              <w:top w:val="nil"/>
              <w:left w:val="nil"/>
              <w:bottom w:val="single" w:sz="4" w:space="0" w:color="auto"/>
              <w:right w:val="single" w:sz="4" w:space="0" w:color="auto"/>
            </w:tcBorders>
            <w:shd w:val="clear" w:color="auto" w:fill="auto"/>
            <w:noWrap/>
            <w:vAlign w:val="bottom"/>
            <w:hideMark/>
          </w:tcPr>
          <w:p w14:paraId="0F5D440E" w14:textId="77777777" w:rsidR="00F14D40" w:rsidRPr="00D00FBB" w:rsidRDefault="00F14D40" w:rsidP="00413A3E">
            <w:pPr>
              <w:rPr>
                <w:rFonts w:ascii="Arial" w:hAnsi="Arial" w:cs="Arial"/>
                <w:sz w:val="20"/>
                <w:szCs w:val="20"/>
              </w:rPr>
            </w:pPr>
            <w:r w:rsidRPr="00D00FBB">
              <w:rPr>
                <w:rFonts w:ascii="Arial" w:hAnsi="Arial" w:cs="Arial"/>
                <w:sz w:val="20"/>
                <w:szCs w:val="20"/>
              </w:rPr>
              <w:t>Mpumalanga</w:t>
            </w:r>
          </w:p>
        </w:tc>
        <w:tc>
          <w:tcPr>
            <w:tcW w:w="815" w:type="dxa"/>
            <w:tcBorders>
              <w:top w:val="nil"/>
              <w:left w:val="nil"/>
              <w:bottom w:val="single" w:sz="4" w:space="0" w:color="auto"/>
              <w:right w:val="single" w:sz="4" w:space="0" w:color="auto"/>
            </w:tcBorders>
            <w:shd w:val="clear" w:color="auto" w:fill="auto"/>
            <w:noWrap/>
            <w:vAlign w:val="bottom"/>
            <w:hideMark/>
          </w:tcPr>
          <w:p w14:paraId="080892D9" w14:textId="77777777" w:rsidR="00F14D40" w:rsidRPr="00D00FBB" w:rsidRDefault="00F14D40" w:rsidP="00413A3E">
            <w:pPr>
              <w:rPr>
                <w:rFonts w:ascii="Arial" w:hAnsi="Arial" w:cs="Arial"/>
                <w:sz w:val="20"/>
                <w:szCs w:val="20"/>
              </w:rPr>
            </w:pPr>
            <w:r w:rsidRPr="00D00FBB">
              <w:rPr>
                <w:rFonts w:ascii="Arial" w:hAnsi="Arial" w:cs="Arial"/>
                <w:sz w:val="20"/>
                <w:szCs w:val="20"/>
              </w:rPr>
              <w:t>47,2</w:t>
            </w:r>
          </w:p>
        </w:tc>
        <w:tc>
          <w:tcPr>
            <w:tcW w:w="939" w:type="dxa"/>
            <w:tcBorders>
              <w:top w:val="nil"/>
              <w:left w:val="nil"/>
              <w:bottom w:val="single" w:sz="4" w:space="0" w:color="auto"/>
              <w:right w:val="single" w:sz="4" w:space="0" w:color="auto"/>
            </w:tcBorders>
            <w:shd w:val="clear" w:color="auto" w:fill="auto"/>
            <w:noWrap/>
            <w:vAlign w:val="bottom"/>
            <w:hideMark/>
          </w:tcPr>
          <w:p w14:paraId="4BF6466E" w14:textId="77777777" w:rsidR="00F14D40" w:rsidRPr="00D00FBB" w:rsidRDefault="00F14D40" w:rsidP="00413A3E">
            <w:pPr>
              <w:rPr>
                <w:rFonts w:ascii="Arial" w:hAnsi="Arial" w:cs="Arial"/>
                <w:sz w:val="20"/>
                <w:szCs w:val="20"/>
              </w:rPr>
            </w:pPr>
            <w:r w:rsidRPr="00D00FBB">
              <w:rPr>
                <w:rFonts w:ascii="Arial" w:hAnsi="Arial" w:cs="Arial"/>
                <w:sz w:val="20"/>
                <w:szCs w:val="20"/>
              </w:rPr>
              <w:t>52,8</w:t>
            </w:r>
          </w:p>
        </w:tc>
        <w:tc>
          <w:tcPr>
            <w:tcW w:w="717" w:type="dxa"/>
            <w:tcBorders>
              <w:top w:val="nil"/>
              <w:left w:val="nil"/>
              <w:bottom w:val="single" w:sz="4" w:space="0" w:color="auto"/>
              <w:right w:val="single" w:sz="4" w:space="0" w:color="auto"/>
            </w:tcBorders>
            <w:shd w:val="clear" w:color="auto" w:fill="auto"/>
            <w:noWrap/>
            <w:vAlign w:val="bottom"/>
            <w:hideMark/>
          </w:tcPr>
          <w:p w14:paraId="41F8BB42" w14:textId="77777777" w:rsidR="00F14D40" w:rsidRPr="00D00FBB" w:rsidRDefault="00F14D40" w:rsidP="00413A3E">
            <w:pPr>
              <w:rPr>
                <w:rFonts w:ascii="Arial" w:hAnsi="Arial" w:cs="Arial"/>
                <w:sz w:val="20"/>
                <w:szCs w:val="20"/>
              </w:rPr>
            </w:pPr>
            <w:r w:rsidRPr="00D00FBB">
              <w:rPr>
                <w:rFonts w:ascii="Arial" w:hAnsi="Arial" w:cs="Arial"/>
                <w:sz w:val="20"/>
                <w:szCs w:val="20"/>
              </w:rPr>
              <w:t>100,0</w:t>
            </w:r>
          </w:p>
        </w:tc>
      </w:tr>
      <w:tr w:rsidR="00F14D40" w:rsidRPr="00D00FBB" w14:paraId="47D6615C" w14:textId="77777777" w:rsidTr="001D5997">
        <w:trPr>
          <w:trHeight w:val="255"/>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14:paraId="464C7A4C" w14:textId="77777777" w:rsidR="00F14D40" w:rsidRPr="00D00FBB" w:rsidRDefault="00F14D40" w:rsidP="00413A3E">
            <w:pPr>
              <w:rPr>
                <w:rFonts w:ascii="Arial" w:hAnsi="Arial" w:cs="Arial"/>
                <w:sz w:val="20"/>
                <w:szCs w:val="20"/>
              </w:rPr>
            </w:pPr>
            <w:r w:rsidRPr="00D00FBB">
              <w:rPr>
                <w:rFonts w:ascii="Arial" w:hAnsi="Arial" w:cs="Arial"/>
                <w:sz w:val="20"/>
                <w:szCs w:val="20"/>
              </w:rPr>
              <w:t>Limpopo</w:t>
            </w:r>
          </w:p>
        </w:tc>
        <w:tc>
          <w:tcPr>
            <w:tcW w:w="1030" w:type="dxa"/>
            <w:tcBorders>
              <w:top w:val="nil"/>
              <w:left w:val="nil"/>
              <w:bottom w:val="single" w:sz="4" w:space="0" w:color="auto"/>
              <w:right w:val="single" w:sz="4" w:space="0" w:color="auto"/>
            </w:tcBorders>
            <w:shd w:val="clear" w:color="auto" w:fill="auto"/>
            <w:noWrap/>
            <w:vAlign w:val="bottom"/>
            <w:hideMark/>
          </w:tcPr>
          <w:p w14:paraId="7EFC7F8F" w14:textId="77777777" w:rsidR="00F14D40" w:rsidRPr="00D00FBB" w:rsidRDefault="00F14D40" w:rsidP="00413A3E">
            <w:pPr>
              <w:rPr>
                <w:rFonts w:ascii="Arial" w:hAnsi="Arial" w:cs="Arial"/>
                <w:sz w:val="20"/>
                <w:szCs w:val="20"/>
              </w:rPr>
            </w:pPr>
            <w:r w:rsidRPr="00D00FBB">
              <w:rPr>
                <w:rFonts w:ascii="Arial" w:hAnsi="Arial" w:cs="Arial"/>
                <w:sz w:val="20"/>
                <w:szCs w:val="20"/>
              </w:rPr>
              <w:t>1072910</w:t>
            </w:r>
          </w:p>
        </w:tc>
        <w:tc>
          <w:tcPr>
            <w:tcW w:w="1030" w:type="dxa"/>
            <w:tcBorders>
              <w:top w:val="nil"/>
              <w:left w:val="nil"/>
              <w:bottom w:val="single" w:sz="4" w:space="0" w:color="auto"/>
              <w:right w:val="single" w:sz="4" w:space="0" w:color="auto"/>
            </w:tcBorders>
            <w:shd w:val="clear" w:color="auto" w:fill="auto"/>
            <w:noWrap/>
            <w:vAlign w:val="bottom"/>
            <w:hideMark/>
          </w:tcPr>
          <w:p w14:paraId="37B69BDE" w14:textId="77777777" w:rsidR="00F14D40" w:rsidRPr="00D00FBB" w:rsidRDefault="00F14D40" w:rsidP="00413A3E">
            <w:pPr>
              <w:rPr>
                <w:rFonts w:ascii="Arial" w:hAnsi="Arial" w:cs="Arial"/>
                <w:sz w:val="20"/>
                <w:szCs w:val="20"/>
              </w:rPr>
            </w:pPr>
            <w:r w:rsidRPr="00D00FBB">
              <w:rPr>
                <w:rFonts w:ascii="Arial" w:hAnsi="Arial" w:cs="Arial"/>
                <w:sz w:val="20"/>
                <w:szCs w:val="20"/>
              </w:rPr>
              <w:t>1244774</w:t>
            </w:r>
          </w:p>
        </w:tc>
        <w:tc>
          <w:tcPr>
            <w:tcW w:w="1171" w:type="dxa"/>
            <w:tcBorders>
              <w:top w:val="nil"/>
              <w:left w:val="nil"/>
              <w:bottom w:val="single" w:sz="4" w:space="0" w:color="auto"/>
              <w:right w:val="single" w:sz="4" w:space="0" w:color="auto"/>
            </w:tcBorders>
            <w:shd w:val="clear" w:color="auto" w:fill="auto"/>
            <w:noWrap/>
            <w:vAlign w:val="bottom"/>
            <w:hideMark/>
          </w:tcPr>
          <w:p w14:paraId="7386647E" w14:textId="77777777" w:rsidR="00F14D40" w:rsidRPr="00D00FBB" w:rsidRDefault="00F14D40" w:rsidP="00413A3E">
            <w:pPr>
              <w:rPr>
                <w:rFonts w:ascii="Arial" w:hAnsi="Arial" w:cs="Arial"/>
                <w:sz w:val="20"/>
                <w:szCs w:val="20"/>
              </w:rPr>
            </w:pPr>
            <w:r w:rsidRPr="00D00FBB">
              <w:rPr>
                <w:rFonts w:ascii="Arial" w:hAnsi="Arial" w:cs="Arial"/>
                <w:sz w:val="20"/>
                <w:szCs w:val="20"/>
              </w:rPr>
              <w:t>2317684</w:t>
            </w:r>
          </w:p>
        </w:tc>
        <w:tc>
          <w:tcPr>
            <w:tcW w:w="1596" w:type="dxa"/>
            <w:tcBorders>
              <w:top w:val="nil"/>
              <w:left w:val="nil"/>
              <w:bottom w:val="single" w:sz="4" w:space="0" w:color="auto"/>
              <w:right w:val="single" w:sz="4" w:space="0" w:color="auto"/>
            </w:tcBorders>
            <w:shd w:val="clear" w:color="auto" w:fill="auto"/>
            <w:noWrap/>
            <w:vAlign w:val="bottom"/>
            <w:hideMark/>
          </w:tcPr>
          <w:p w14:paraId="05CA359B" w14:textId="77777777" w:rsidR="00F14D40" w:rsidRPr="00D00FBB" w:rsidRDefault="00F14D40" w:rsidP="00413A3E">
            <w:pPr>
              <w:rPr>
                <w:rFonts w:ascii="Arial" w:hAnsi="Arial" w:cs="Arial"/>
                <w:sz w:val="20"/>
                <w:szCs w:val="20"/>
              </w:rPr>
            </w:pPr>
            <w:r w:rsidRPr="00D00FBB">
              <w:rPr>
                <w:rFonts w:ascii="Arial" w:hAnsi="Arial" w:cs="Arial"/>
                <w:sz w:val="20"/>
                <w:szCs w:val="20"/>
              </w:rPr>
              <w:t>Limpopo</w:t>
            </w:r>
          </w:p>
        </w:tc>
        <w:tc>
          <w:tcPr>
            <w:tcW w:w="815" w:type="dxa"/>
            <w:tcBorders>
              <w:top w:val="nil"/>
              <w:left w:val="nil"/>
              <w:bottom w:val="single" w:sz="4" w:space="0" w:color="auto"/>
              <w:right w:val="single" w:sz="4" w:space="0" w:color="auto"/>
            </w:tcBorders>
            <w:shd w:val="clear" w:color="auto" w:fill="auto"/>
            <w:noWrap/>
            <w:vAlign w:val="bottom"/>
            <w:hideMark/>
          </w:tcPr>
          <w:p w14:paraId="39772A4A" w14:textId="77777777" w:rsidR="00F14D40" w:rsidRPr="00D00FBB" w:rsidRDefault="00F14D40" w:rsidP="00413A3E">
            <w:pPr>
              <w:rPr>
                <w:rFonts w:ascii="Arial" w:hAnsi="Arial" w:cs="Arial"/>
                <w:sz w:val="20"/>
                <w:szCs w:val="20"/>
              </w:rPr>
            </w:pPr>
            <w:r w:rsidRPr="00D00FBB">
              <w:rPr>
                <w:rFonts w:ascii="Arial" w:hAnsi="Arial" w:cs="Arial"/>
                <w:sz w:val="20"/>
                <w:szCs w:val="20"/>
              </w:rPr>
              <w:t>46,3</w:t>
            </w:r>
          </w:p>
        </w:tc>
        <w:tc>
          <w:tcPr>
            <w:tcW w:w="939" w:type="dxa"/>
            <w:tcBorders>
              <w:top w:val="nil"/>
              <w:left w:val="nil"/>
              <w:bottom w:val="single" w:sz="4" w:space="0" w:color="auto"/>
              <w:right w:val="single" w:sz="4" w:space="0" w:color="auto"/>
            </w:tcBorders>
            <w:shd w:val="clear" w:color="auto" w:fill="auto"/>
            <w:noWrap/>
            <w:vAlign w:val="bottom"/>
            <w:hideMark/>
          </w:tcPr>
          <w:p w14:paraId="2B9E2E74" w14:textId="77777777" w:rsidR="00F14D40" w:rsidRPr="00D00FBB" w:rsidRDefault="00F14D40" w:rsidP="00413A3E">
            <w:pPr>
              <w:rPr>
                <w:rFonts w:ascii="Arial" w:hAnsi="Arial" w:cs="Arial"/>
                <w:sz w:val="20"/>
                <w:szCs w:val="20"/>
              </w:rPr>
            </w:pPr>
            <w:r w:rsidRPr="00D00FBB">
              <w:rPr>
                <w:rFonts w:ascii="Arial" w:hAnsi="Arial" w:cs="Arial"/>
                <w:sz w:val="20"/>
                <w:szCs w:val="20"/>
              </w:rPr>
              <w:t>53,7</w:t>
            </w:r>
          </w:p>
        </w:tc>
        <w:tc>
          <w:tcPr>
            <w:tcW w:w="717" w:type="dxa"/>
            <w:tcBorders>
              <w:top w:val="nil"/>
              <w:left w:val="nil"/>
              <w:bottom w:val="single" w:sz="4" w:space="0" w:color="auto"/>
              <w:right w:val="single" w:sz="4" w:space="0" w:color="auto"/>
            </w:tcBorders>
            <w:shd w:val="clear" w:color="auto" w:fill="auto"/>
            <w:noWrap/>
            <w:vAlign w:val="bottom"/>
            <w:hideMark/>
          </w:tcPr>
          <w:p w14:paraId="6E68DC3F" w14:textId="77777777" w:rsidR="00F14D40" w:rsidRPr="00D00FBB" w:rsidRDefault="00F14D40" w:rsidP="00413A3E">
            <w:pPr>
              <w:rPr>
                <w:rFonts w:ascii="Arial" w:hAnsi="Arial" w:cs="Arial"/>
                <w:sz w:val="20"/>
                <w:szCs w:val="20"/>
              </w:rPr>
            </w:pPr>
            <w:r w:rsidRPr="00D00FBB">
              <w:rPr>
                <w:rFonts w:ascii="Arial" w:hAnsi="Arial" w:cs="Arial"/>
                <w:sz w:val="20"/>
                <w:szCs w:val="20"/>
              </w:rPr>
              <w:t>100,0</w:t>
            </w:r>
          </w:p>
        </w:tc>
      </w:tr>
      <w:tr w:rsidR="00F14D40" w:rsidRPr="00D00FBB" w14:paraId="3DA33AE9" w14:textId="77777777" w:rsidTr="001D5997">
        <w:trPr>
          <w:trHeight w:val="255"/>
        </w:trPr>
        <w:tc>
          <w:tcPr>
            <w:tcW w:w="1709" w:type="dxa"/>
            <w:tcBorders>
              <w:top w:val="nil"/>
              <w:left w:val="single" w:sz="4" w:space="0" w:color="auto"/>
              <w:bottom w:val="single" w:sz="4" w:space="0" w:color="auto"/>
              <w:right w:val="single" w:sz="4" w:space="0" w:color="auto"/>
            </w:tcBorders>
            <w:shd w:val="clear" w:color="auto" w:fill="auto"/>
            <w:noWrap/>
            <w:vAlign w:val="bottom"/>
            <w:hideMark/>
          </w:tcPr>
          <w:p w14:paraId="0661E5A9" w14:textId="77777777" w:rsidR="00F14D40" w:rsidRPr="00D00FBB" w:rsidRDefault="00F14D40" w:rsidP="00413A3E">
            <w:pPr>
              <w:rPr>
                <w:rFonts w:ascii="Arial" w:hAnsi="Arial" w:cs="Arial"/>
                <w:sz w:val="20"/>
                <w:szCs w:val="20"/>
              </w:rPr>
            </w:pPr>
            <w:r w:rsidRPr="00D00FBB">
              <w:rPr>
                <w:rFonts w:ascii="Arial" w:hAnsi="Arial" w:cs="Arial"/>
                <w:sz w:val="20"/>
                <w:szCs w:val="20"/>
              </w:rPr>
              <w:t xml:space="preserve">Total </w:t>
            </w:r>
          </w:p>
        </w:tc>
        <w:tc>
          <w:tcPr>
            <w:tcW w:w="1030" w:type="dxa"/>
            <w:tcBorders>
              <w:top w:val="nil"/>
              <w:left w:val="nil"/>
              <w:bottom w:val="single" w:sz="4" w:space="0" w:color="auto"/>
              <w:right w:val="single" w:sz="4" w:space="0" w:color="auto"/>
            </w:tcBorders>
            <w:shd w:val="clear" w:color="auto" w:fill="auto"/>
            <w:noWrap/>
            <w:vAlign w:val="bottom"/>
            <w:hideMark/>
          </w:tcPr>
          <w:p w14:paraId="74B432B3" w14:textId="77777777" w:rsidR="00F14D40" w:rsidRPr="00D00FBB" w:rsidRDefault="00F14D40" w:rsidP="00413A3E">
            <w:pPr>
              <w:rPr>
                <w:rFonts w:ascii="Arial" w:hAnsi="Arial" w:cs="Arial"/>
                <w:sz w:val="20"/>
                <w:szCs w:val="20"/>
              </w:rPr>
            </w:pPr>
            <w:r w:rsidRPr="00D00FBB">
              <w:rPr>
                <w:rFonts w:ascii="Arial" w:hAnsi="Arial" w:cs="Arial"/>
                <w:sz w:val="20"/>
                <w:szCs w:val="20"/>
              </w:rPr>
              <w:t>8195978</w:t>
            </w:r>
          </w:p>
        </w:tc>
        <w:tc>
          <w:tcPr>
            <w:tcW w:w="1030" w:type="dxa"/>
            <w:tcBorders>
              <w:top w:val="nil"/>
              <w:left w:val="nil"/>
              <w:bottom w:val="single" w:sz="4" w:space="0" w:color="auto"/>
              <w:right w:val="single" w:sz="4" w:space="0" w:color="auto"/>
            </w:tcBorders>
            <w:shd w:val="clear" w:color="auto" w:fill="auto"/>
            <w:noWrap/>
            <w:vAlign w:val="bottom"/>
            <w:hideMark/>
          </w:tcPr>
          <w:p w14:paraId="4009E09B" w14:textId="77777777" w:rsidR="00F14D40" w:rsidRPr="00D00FBB" w:rsidRDefault="00F14D40" w:rsidP="00413A3E">
            <w:pPr>
              <w:rPr>
                <w:rFonts w:ascii="Arial" w:hAnsi="Arial" w:cs="Arial"/>
                <w:sz w:val="20"/>
                <w:szCs w:val="20"/>
              </w:rPr>
            </w:pPr>
            <w:r w:rsidRPr="00D00FBB">
              <w:rPr>
                <w:rFonts w:ascii="Arial" w:hAnsi="Arial" w:cs="Arial"/>
                <w:sz w:val="20"/>
                <w:szCs w:val="20"/>
              </w:rPr>
              <w:t>9187520</w:t>
            </w:r>
          </w:p>
        </w:tc>
        <w:tc>
          <w:tcPr>
            <w:tcW w:w="1171" w:type="dxa"/>
            <w:tcBorders>
              <w:top w:val="nil"/>
              <w:left w:val="nil"/>
              <w:bottom w:val="single" w:sz="4" w:space="0" w:color="auto"/>
              <w:right w:val="single" w:sz="4" w:space="0" w:color="auto"/>
            </w:tcBorders>
            <w:shd w:val="clear" w:color="auto" w:fill="auto"/>
            <w:noWrap/>
            <w:vAlign w:val="bottom"/>
            <w:hideMark/>
          </w:tcPr>
          <w:p w14:paraId="55FA8395" w14:textId="77777777" w:rsidR="00F14D40" w:rsidRPr="00D00FBB" w:rsidRDefault="00F14D40" w:rsidP="00413A3E">
            <w:pPr>
              <w:rPr>
                <w:rFonts w:ascii="Arial" w:hAnsi="Arial" w:cs="Arial"/>
                <w:sz w:val="20"/>
                <w:szCs w:val="20"/>
              </w:rPr>
            </w:pPr>
            <w:r w:rsidRPr="00D00FBB">
              <w:rPr>
                <w:rFonts w:ascii="Arial" w:hAnsi="Arial" w:cs="Arial"/>
                <w:sz w:val="20"/>
                <w:szCs w:val="20"/>
              </w:rPr>
              <w:t>17383499</w:t>
            </w:r>
          </w:p>
        </w:tc>
        <w:tc>
          <w:tcPr>
            <w:tcW w:w="1596" w:type="dxa"/>
            <w:tcBorders>
              <w:top w:val="nil"/>
              <w:left w:val="nil"/>
              <w:bottom w:val="single" w:sz="4" w:space="0" w:color="auto"/>
              <w:right w:val="single" w:sz="4" w:space="0" w:color="auto"/>
            </w:tcBorders>
            <w:shd w:val="clear" w:color="auto" w:fill="auto"/>
            <w:noWrap/>
            <w:vAlign w:val="bottom"/>
            <w:hideMark/>
          </w:tcPr>
          <w:p w14:paraId="0696CCD7" w14:textId="77777777" w:rsidR="00F14D40" w:rsidRPr="00D00FBB" w:rsidRDefault="00F14D40" w:rsidP="00413A3E">
            <w:pPr>
              <w:rPr>
                <w:rFonts w:ascii="Arial" w:hAnsi="Arial" w:cs="Arial"/>
                <w:sz w:val="20"/>
                <w:szCs w:val="20"/>
              </w:rPr>
            </w:pPr>
            <w:r w:rsidRPr="00D00FBB">
              <w:rPr>
                <w:rFonts w:ascii="Arial" w:hAnsi="Arial" w:cs="Arial"/>
                <w:sz w:val="20"/>
                <w:szCs w:val="20"/>
              </w:rPr>
              <w:t xml:space="preserve">Total </w:t>
            </w:r>
          </w:p>
        </w:tc>
        <w:tc>
          <w:tcPr>
            <w:tcW w:w="815" w:type="dxa"/>
            <w:tcBorders>
              <w:top w:val="nil"/>
              <w:left w:val="nil"/>
              <w:bottom w:val="single" w:sz="4" w:space="0" w:color="auto"/>
              <w:right w:val="single" w:sz="4" w:space="0" w:color="auto"/>
            </w:tcBorders>
            <w:shd w:val="clear" w:color="auto" w:fill="auto"/>
            <w:noWrap/>
            <w:vAlign w:val="bottom"/>
            <w:hideMark/>
          </w:tcPr>
          <w:p w14:paraId="623D022F" w14:textId="77777777" w:rsidR="00F14D40" w:rsidRPr="00D00FBB" w:rsidRDefault="00F14D40" w:rsidP="00413A3E">
            <w:pPr>
              <w:rPr>
                <w:rFonts w:ascii="Arial" w:hAnsi="Arial" w:cs="Arial"/>
                <w:sz w:val="20"/>
                <w:szCs w:val="20"/>
              </w:rPr>
            </w:pPr>
            <w:r w:rsidRPr="00D00FBB">
              <w:rPr>
                <w:rFonts w:ascii="Arial" w:hAnsi="Arial" w:cs="Arial"/>
                <w:sz w:val="20"/>
                <w:szCs w:val="20"/>
              </w:rPr>
              <w:t>47,1</w:t>
            </w:r>
          </w:p>
        </w:tc>
        <w:tc>
          <w:tcPr>
            <w:tcW w:w="939" w:type="dxa"/>
            <w:tcBorders>
              <w:top w:val="nil"/>
              <w:left w:val="nil"/>
              <w:bottom w:val="single" w:sz="4" w:space="0" w:color="auto"/>
              <w:right w:val="single" w:sz="4" w:space="0" w:color="auto"/>
            </w:tcBorders>
            <w:shd w:val="clear" w:color="auto" w:fill="auto"/>
            <w:noWrap/>
            <w:vAlign w:val="bottom"/>
            <w:hideMark/>
          </w:tcPr>
          <w:p w14:paraId="5989BA1C" w14:textId="77777777" w:rsidR="00F14D40" w:rsidRPr="00D00FBB" w:rsidRDefault="00F14D40" w:rsidP="00413A3E">
            <w:pPr>
              <w:rPr>
                <w:rFonts w:ascii="Arial" w:hAnsi="Arial" w:cs="Arial"/>
                <w:sz w:val="20"/>
                <w:szCs w:val="20"/>
              </w:rPr>
            </w:pPr>
            <w:r w:rsidRPr="00D00FBB">
              <w:rPr>
                <w:rFonts w:ascii="Arial" w:hAnsi="Arial" w:cs="Arial"/>
                <w:sz w:val="20"/>
                <w:szCs w:val="20"/>
              </w:rPr>
              <w:t>52,9</w:t>
            </w:r>
          </w:p>
        </w:tc>
        <w:tc>
          <w:tcPr>
            <w:tcW w:w="717" w:type="dxa"/>
            <w:tcBorders>
              <w:top w:val="nil"/>
              <w:left w:val="nil"/>
              <w:bottom w:val="single" w:sz="4" w:space="0" w:color="auto"/>
              <w:right w:val="single" w:sz="4" w:space="0" w:color="auto"/>
            </w:tcBorders>
            <w:shd w:val="clear" w:color="auto" w:fill="auto"/>
            <w:noWrap/>
            <w:vAlign w:val="bottom"/>
            <w:hideMark/>
          </w:tcPr>
          <w:p w14:paraId="13B5B9BD" w14:textId="77777777" w:rsidR="00F14D40" w:rsidRPr="00D00FBB" w:rsidRDefault="00F14D40" w:rsidP="00413A3E">
            <w:pPr>
              <w:rPr>
                <w:rFonts w:ascii="Arial" w:hAnsi="Arial" w:cs="Arial"/>
                <w:sz w:val="20"/>
                <w:szCs w:val="20"/>
              </w:rPr>
            </w:pPr>
            <w:r w:rsidRPr="00D00FBB">
              <w:rPr>
                <w:rFonts w:ascii="Arial" w:hAnsi="Arial" w:cs="Arial"/>
                <w:sz w:val="20"/>
                <w:szCs w:val="20"/>
              </w:rPr>
              <w:t>100</w:t>
            </w:r>
          </w:p>
        </w:tc>
      </w:tr>
    </w:tbl>
    <w:p w14:paraId="3A17DFC6" w14:textId="77777777" w:rsidR="00F14D40" w:rsidRPr="002965EC" w:rsidRDefault="00F14D40" w:rsidP="00A7470A">
      <w:pPr>
        <w:rPr>
          <w:rFonts w:ascii="Arial" w:hAnsi="Arial" w:cs="Arial"/>
        </w:rPr>
      </w:pPr>
      <w:r w:rsidRPr="002965EC">
        <w:rPr>
          <w:rFonts w:ascii="Arial" w:hAnsi="Arial" w:cs="Arial"/>
        </w:rPr>
        <w:t>Source: General Household Survey</w:t>
      </w:r>
      <w:r w:rsidR="00BE720A" w:rsidRPr="002965EC">
        <w:rPr>
          <w:rFonts w:ascii="Arial" w:hAnsi="Arial" w:cs="Arial"/>
        </w:rPr>
        <w:t>, 2017</w:t>
      </w:r>
    </w:p>
    <w:p w14:paraId="40F094AF" w14:textId="77777777" w:rsidR="002C4E2C" w:rsidRPr="002965EC" w:rsidRDefault="002C4E2C" w:rsidP="00A7470A">
      <w:pPr>
        <w:rPr>
          <w:rFonts w:ascii="Arial" w:hAnsi="Arial" w:cs="Arial"/>
          <w:b/>
        </w:rPr>
      </w:pPr>
      <w:r w:rsidRPr="002965EC">
        <w:rPr>
          <w:rFonts w:ascii="Arial" w:hAnsi="Arial" w:cs="Arial"/>
          <w:b/>
        </w:rPr>
        <w:t>Social Grants by year and sex of the recipient</w:t>
      </w:r>
    </w:p>
    <w:p w14:paraId="31BC8AA0" w14:textId="77777777" w:rsidR="00432A25" w:rsidRDefault="002C4E2C" w:rsidP="00A7470A">
      <w:pPr>
        <w:rPr>
          <w:rFonts w:ascii="Arial" w:hAnsi="Arial" w:cs="Arial"/>
        </w:rPr>
      </w:pPr>
      <w:r w:rsidRPr="002965EC">
        <w:rPr>
          <w:rFonts w:ascii="Arial" w:hAnsi="Arial" w:cs="Arial"/>
        </w:rPr>
        <w:t>The graph below show that while women have always been higher than men as beneficiaries the proportion of women has been declining over time. For example in 2003, 60% of women were social grant recipients compared to 53% in 2017.</w:t>
      </w:r>
    </w:p>
    <w:p w14:paraId="087E9FB1" w14:textId="291EF73D" w:rsidR="00ED288E" w:rsidRPr="00432A25" w:rsidRDefault="00ED288E" w:rsidP="00A7470A">
      <w:pPr>
        <w:rPr>
          <w:rFonts w:ascii="Arial" w:hAnsi="Arial" w:cs="Arial"/>
        </w:rPr>
      </w:pPr>
      <w:r w:rsidRPr="002965EC">
        <w:rPr>
          <w:rFonts w:ascii="Arial" w:hAnsi="Arial" w:cs="Arial"/>
          <w:b/>
        </w:rPr>
        <w:lastRenderedPageBreak/>
        <w:t>Figure 2:</w:t>
      </w:r>
      <w:r w:rsidR="005B13FB" w:rsidRPr="002965EC">
        <w:rPr>
          <w:rFonts w:ascii="Arial" w:hAnsi="Arial" w:cs="Arial"/>
          <w:b/>
        </w:rPr>
        <w:t xml:space="preserve"> Social grants by year and sex of the recipient, 2003-2017</w:t>
      </w:r>
    </w:p>
    <w:p w14:paraId="7CC0FE32" w14:textId="77777777" w:rsidR="002C4E2C" w:rsidRPr="002965EC" w:rsidRDefault="002C4E2C" w:rsidP="00A7470A">
      <w:pPr>
        <w:rPr>
          <w:rFonts w:ascii="Arial" w:hAnsi="Arial" w:cs="Arial"/>
        </w:rPr>
      </w:pPr>
      <w:r w:rsidRPr="002965EC">
        <w:rPr>
          <w:rFonts w:ascii="Arial" w:hAnsi="Arial" w:cs="Arial"/>
          <w:noProof/>
          <w:lang w:val="en-ZA" w:eastAsia="en-ZA"/>
        </w:rPr>
        <w:drawing>
          <wp:inline distT="0" distB="0" distL="0" distR="0" wp14:anchorId="5C29988F" wp14:editId="42CE9751">
            <wp:extent cx="5943600" cy="3874770"/>
            <wp:effectExtent l="0" t="0" r="1905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2965EC">
        <w:rPr>
          <w:rFonts w:ascii="Arial" w:hAnsi="Arial" w:cs="Arial"/>
          <w:b/>
        </w:rPr>
        <w:t xml:space="preserve"> </w:t>
      </w:r>
      <w:r w:rsidRPr="002965EC">
        <w:rPr>
          <w:rFonts w:ascii="Arial" w:hAnsi="Arial" w:cs="Arial"/>
        </w:rPr>
        <w:t>Source: General Household Surveys 2003-2017 data sets (Statistics South Africa)</w:t>
      </w:r>
    </w:p>
    <w:p w14:paraId="12E4CD83" w14:textId="77777777" w:rsidR="00F13E5B" w:rsidRDefault="00F13E5B" w:rsidP="00A7470A">
      <w:pPr>
        <w:rPr>
          <w:rFonts w:ascii="Arial" w:hAnsi="Arial" w:cs="Arial"/>
          <w:b/>
        </w:rPr>
      </w:pPr>
    </w:p>
    <w:p w14:paraId="6EACCC1D" w14:textId="77777777" w:rsidR="002A3FD9" w:rsidRPr="002965EC" w:rsidRDefault="002A3FD9" w:rsidP="00A7470A">
      <w:pPr>
        <w:rPr>
          <w:rFonts w:ascii="Arial" w:hAnsi="Arial" w:cs="Arial"/>
          <w:b/>
        </w:rPr>
      </w:pPr>
      <w:r w:rsidRPr="002965EC">
        <w:rPr>
          <w:rFonts w:ascii="Arial" w:hAnsi="Arial" w:cs="Arial"/>
          <w:b/>
        </w:rPr>
        <w:t xml:space="preserve">Labour </w:t>
      </w:r>
    </w:p>
    <w:p w14:paraId="761F7735" w14:textId="77777777" w:rsidR="00C753DC" w:rsidRPr="002965EC" w:rsidRDefault="00C753DC" w:rsidP="00C753DC">
      <w:pPr>
        <w:rPr>
          <w:rFonts w:ascii="Arial" w:hAnsi="Arial" w:cs="Arial"/>
        </w:rPr>
      </w:pPr>
      <w:r w:rsidRPr="002965EC">
        <w:rPr>
          <w:rFonts w:ascii="Arial" w:hAnsi="Arial" w:cs="Arial"/>
        </w:rPr>
        <w:t xml:space="preserve">Labour force participation rates in South Africa are low by international standards: of eight other developing countries from around the world and the Sub-Saharan Africa region as a whole, South Africa’s male labour force participation rate is the second-lowest (62.0 percent), and the female labour force participation rate - at 52.2 percent - is lower than in all the listed countries, except Mexico and Nigeria. The participation rate for women in South Africa is 12.1 percentage points lower than for the entire Sub-Saharan African region, and this gap is even wider when considering the participation rates for the population aged 15 years and older (as opposed to 15 to 64-year olds). Two immediate factors contribute to this low level of labour force participation: first, the relatively small size of the informal sector in South Africa and, second, the constrained smallholder and subsistence agriculture sector as a source of employment in South Africa. </w:t>
      </w:r>
    </w:p>
    <w:p w14:paraId="302D2411" w14:textId="77777777" w:rsidR="00C753DC" w:rsidRPr="002965EC" w:rsidRDefault="00C753DC" w:rsidP="00C753DC">
      <w:pPr>
        <w:rPr>
          <w:rFonts w:ascii="Arial" w:hAnsi="Arial" w:cs="Arial"/>
          <w:b/>
          <w:i/>
        </w:rPr>
      </w:pPr>
      <w:r w:rsidRPr="002965EC">
        <w:rPr>
          <w:rFonts w:ascii="Arial" w:hAnsi="Arial" w:cs="Arial"/>
          <w:noProof/>
          <w:lang w:val="en-ZA" w:eastAsia="en-ZA"/>
        </w:rPr>
        <w:lastRenderedPageBreak/>
        <w:drawing>
          <wp:inline distT="0" distB="0" distL="0" distR="0" wp14:anchorId="2B72B2BA" wp14:editId="6A3F5578">
            <wp:extent cx="5476875" cy="3009900"/>
            <wp:effectExtent l="0" t="0" r="9525"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CD64BC" w14:textId="77777777" w:rsidR="00C753DC" w:rsidRPr="002965EC" w:rsidRDefault="00C753DC" w:rsidP="00C753DC">
      <w:pPr>
        <w:rPr>
          <w:rFonts w:ascii="Arial" w:hAnsi="Arial" w:cs="Arial"/>
        </w:rPr>
      </w:pPr>
      <w:r w:rsidRPr="002965EC">
        <w:rPr>
          <w:rFonts w:ascii="Arial" w:hAnsi="Arial" w:cs="Arial"/>
        </w:rPr>
        <w:t xml:space="preserve">Gender differences extend beyond high-level labour market outcomes and are observable in various areas of employment. Female employment is concentrated in four industries: community, social and personal (CSP) services (31.4 percent); wholesale and retail trade (22.1 percent); private households (14.6 percent); and finance (13.2 percent). Together, these four industries account for 81.3 percent of total female employment. In contrast, male employment is less concentrated with five industries each accounting for between 13 percent and 19 percent of total male employment. The four industries accounting for the largest proportions of total male employment—wholesale and retail trade (18.6 percent), CSP services (15.6 percent), finance (14.6 percent), and construction (14.1 percent)—together account for 62.9 percent of male employment. </w:t>
      </w:r>
    </w:p>
    <w:p w14:paraId="389E61DB" w14:textId="77777777" w:rsidR="00C753DC" w:rsidRPr="002965EC" w:rsidRDefault="00C753DC" w:rsidP="00C753DC">
      <w:pPr>
        <w:rPr>
          <w:rFonts w:ascii="Arial" w:hAnsi="Arial" w:cs="Arial"/>
        </w:rPr>
      </w:pPr>
      <w:r w:rsidRPr="002965EC">
        <w:rPr>
          <w:rFonts w:ascii="Arial" w:hAnsi="Arial" w:cs="Arial"/>
        </w:rPr>
        <w:t>Women dominate employment in only two industries: CSP services, which include government, and private households, which is primarily domestic work. In CSP services, the ratio of male-to-female employment is 0.6, indicating that for every ten women employed in the industry, there are six men. Within private households, the gap is even larger, with only three men for every ten women in the industry. In contrast, construction, mining and transport are heavily male dominated, with ratios of 8.0, 6.4 and 4.3. Thus, in construction, there are eight times as many men in the industry than there are women. In manufacturing, agriculture and utilities, men outnumber women by a ratio of between 2.0 and 2.5 to one, while in wholesale and retail trade (1.1) and finance (1.4) the ratios are much lower.</w:t>
      </w:r>
    </w:p>
    <w:p w14:paraId="2F1CD511" w14:textId="77777777" w:rsidR="00C753DC" w:rsidRPr="002965EC" w:rsidRDefault="00C753DC" w:rsidP="00C753DC">
      <w:pPr>
        <w:spacing w:after="0"/>
        <w:rPr>
          <w:rFonts w:ascii="Arial" w:hAnsi="Arial" w:cs="Arial"/>
        </w:rPr>
      </w:pPr>
      <w:r w:rsidRPr="002965EC">
        <w:rPr>
          <w:rFonts w:ascii="Arial" w:hAnsi="Arial" w:cs="Arial"/>
          <w:noProof/>
          <w:lang w:val="en-ZA" w:eastAsia="en-ZA"/>
        </w:rPr>
        <w:lastRenderedPageBreak/>
        <w:drawing>
          <wp:inline distT="0" distB="0" distL="0" distR="0" wp14:anchorId="1ABEDCE0" wp14:editId="272C2FA7">
            <wp:extent cx="5486400" cy="3558540"/>
            <wp:effectExtent l="0" t="0" r="0" b="381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26C419" w14:textId="77777777" w:rsidR="00C753DC" w:rsidRPr="002965EC" w:rsidRDefault="00C753DC" w:rsidP="00C753DC">
      <w:pPr>
        <w:spacing w:after="0"/>
        <w:rPr>
          <w:rFonts w:ascii="Arial" w:hAnsi="Arial" w:cs="Arial"/>
        </w:rPr>
      </w:pPr>
    </w:p>
    <w:p w14:paraId="6A3D9B2B" w14:textId="77777777" w:rsidR="00C753DC" w:rsidRPr="002965EC" w:rsidRDefault="00C753DC" w:rsidP="00C753DC">
      <w:pPr>
        <w:rPr>
          <w:rFonts w:ascii="Arial" w:hAnsi="Arial" w:cs="Arial"/>
          <w:i/>
        </w:rPr>
      </w:pPr>
      <w:r w:rsidRPr="002965EC">
        <w:rPr>
          <w:rFonts w:ascii="Arial" w:hAnsi="Arial" w:cs="Arial"/>
        </w:rPr>
        <w:t>Efforts to extend coverage to informal workers have increased and are essential for supporting transitions to formality.</w:t>
      </w:r>
      <w:r w:rsidR="0022662F" w:rsidRPr="002965EC">
        <w:rPr>
          <w:rFonts w:ascii="Arial" w:hAnsi="Arial" w:cs="Arial"/>
        </w:rPr>
        <w:t xml:space="preserve"> </w:t>
      </w:r>
      <w:r w:rsidRPr="002965EC">
        <w:rPr>
          <w:rFonts w:ascii="Arial" w:hAnsi="Arial" w:cs="Arial"/>
        </w:rPr>
        <w:t>The informal economy has since the early 1990s grown considerably. According to the 3rd quarter 2018 Quarterly Labour Force Survey statistics, 3,017,000 South Africans work in the informal sector. Although far smaller than developing country counterparts, this still represents 13.4% of total employment in the country. Notwithstanding this, unlike most other developing countries, the informal economy in South Africa continues to be small. What is more remarkable however is the change in the informal-sector component of male and female employment, which shows a significant divergence</w:t>
      </w:r>
      <w:r w:rsidRPr="002965EC">
        <w:rPr>
          <w:rStyle w:val="FootnoteReference"/>
          <w:rFonts w:ascii="Arial" w:hAnsi="Arial" w:cs="Arial"/>
        </w:rPr>
        <w:footnoteReference w:id="7"/>
      </w:r>
      <w:r w:rsidRPr="002965EC">
        <w:rPr>
          <w:rFonts w:ascii="Arial" w:hAnsi="Arial" w:cs="Arial"/>
        </w:rPr>
        <w:t>. The informal sector is a declining source of employment for women. This divergence demonstrates a rapid, significant and sustained decrease in the informal-sector share of total female employment in the period between 2008 and 2014. The data suggest that there has been a particular drop in women’s participation in trade, and a significant decline in street vendors selling food – an occupation that traditionally has been dominated by women</w:t>
      </w:r>
      <w:r w:rsidRPr="002965EC">
        <w:rPr>
          <w:rStyle w:val="FootnoteReference"/>
          <w:rFonts w:ascii="Arial" w:hAnsi="Arial" w:cs="Arial"/>
        </w:rPr>
        <w:footnoteReference w:id="8"/>
      </w:r>
      <w:r w:rsidRPr="002965EC">
        <w:rPr>
          <w:rFonts w:ascii="Arial" w:hAnsi="Arial" w:cs="Arial"/>
        </w:rPr>
        <w:t>.</w:t>
      </w:r>
    </w:p>
    <w:p w14:paraId="5876A147" w14:textId="77777777" w:rsidR="00C753DC" w:rsidRPr="002965EC" w:rsidRDefault="00C753DC" w:rsidP="00C753DC">
      <w:pPr>
        <w:pStyle w:val="Caption"/>
        <w:keepNext/>
        <w:rPr>
          <w:rFonts w:ascii="Arial" w:hAnsi="Arial" w:cs="Arial"/>
        </w:rPr>
      </w:pPr>
      <w:bookmarkStart w:id="24" w:name="_Toc1488674"/>
      <w:r w:rsidRPr="002965EC">
        <w:rPr>
          <w:rFonts w:ascii="Arial" w:hAnsi="Arial" w:cs="Arial"/>
        </w:rPr>
        <w:lastRenderedPageBreak/>
        <w:t>Figure: Women as a % of the labour force working in the informal sector (non-agricultural)</w:t>
      </w:r>
      <w:bookmarkEnd w:id="24"/>
    </w:p>
    <w:p w14:paraId="5A161528" w14:textId="77777777" w:rsidR="00C753DC" w:rsidRPr="002965EC" w:rsidRDefault="00C753DC" w:rsidP="00C753DC">
      <w:pPr>
        <w:spacing w:after="0"/>
        <w:rPr>
          <w:rFonts w:ascii="Arial" w:hAnsi="Arial" w:cs="Arial"/>
        </w:rPr>
      </w:pPr>
      <w:r w:rsidRPr="002965EC">
        <w:rPr>
          <w:rFonts w:ascii="Arial" w:hAnsi="Arial" w:cs="Arial"/>
          <w:noProof/>
          <w:lang w:val="en-ZA" w:eastAsia="en-ZA"/>
        </w:rPr>
        <w:drawing>
          <wp:inline distT="0" distB="0" distL="0" distR="0" wp14:anchorId="652CEEEF" wp14:editId="07D73BCB">
            <wp:extent cx="5486400" cy="3200400"/>
            <wp:effectExtent l="0" t="0" r="0" b="0"/>
            <wp:docPr id="336" name="Chart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367CBF" w14:textId="77777777" w:rsidR="00C753DC" w:rsidRPr="002965EC" w:rsidRDefault="00C753DC" w:rsidP="00C753DC">
      <w:pPr>
        <w:rPr>
          <w:rFonts w:ascii="Arial" w:hAnsi="Arial" w:cs="Arial"/>
          <w:i/>
        </w:rPr>
      </w:pPr>
    </w:p>
    <w:p w14:paraId="715C5D5C" w14:textId="77777777" w:rsidR="006C3B65" w:rsidRPr="002965EC" w:rsidRDefault="006C3B65" w:rsidP="00827862">
      <w:pPr>
        <w:rPr>
          <w:rFonts w:ascii="Arial" w:hAnsi="Arial" w:cs="Arial"/>
          <w:b/>
        </w:rPr>
      </w:pPr>
      <w:r w:rsidRPr="002965EC">
        <w:rPr>
          <w:rFonts w:ascii="Arial" w:hAnsi="Arial" w:cs="Arial"/>
          <w:b/>
        </w:rPr>
        <w:t>Increasing the access to Social Insurance U</w:t>
      </w:r>
      <w:r w:rsidR="009D7FE4" w:rsidRPr="002965EC">
        <w:rPr>
          <w:rFonts w:ascii="Arial" w:hAnsi="Arial" w:cs="Arial"/>
          <w:b/>
        </w:rPr>
        <w:t xml:space="preserve">nemployment </w:t>
      </w:r>
      <w:r w:rsidRPr="002965EC">
        <w:rPr>
          <w:rFonts w:ascii="Arial" w:hAnsi="Arial" w:cs="Arial"/>
          <w:b/>
        </w:rPr>
        <w:t>I</w:t>
      </w:r>
      <w:r w:rsidR="009D7FE4" w:rsidRPr="002965EC">
        <w:rPr>
          <w:rFonts w:ascii="Arial" w:hAnsi="Arial" w:cs="Arial"/>
          <w:b/>
        </w:rPr>
        <w:t xml:space="preserve">nsurance </w:t>
      </w:r>
      <w:r w:rsidRPr="002965EC">
        <w:rPr>
          <w:rFonts w:ascii="Arial" w:hAnsi="Arial" w:cs="Arial"/>
          <w:b/>
        </w:rPr>
        <w:t>F</w:t>
      </w:r>
      <w:r w:rsidR="009D7FE4" w:rsidRPr="002965EC">
        <w:rPr>
          <w:rFonts w:ascii="Arial" w:hAnsi="Arial" w:cs="Arial"/>
          <w:b/>
        </w:rPr>
        <w:t>und (UIF)</w:t>
      </w:r>
      <w:r w:rsidRPr="002965EC">
        <w:rPr>
          <w:rFonts w:ascii="Arial" w:hAnsi="Arial" w:cs="Arial"/>
          <w:b/>
        </w:rPr>
        <w:t xml:space="preserve"> </w:t>
      </w:r>
    </w:p>
    <w:p w14:paraId="7F76988A" w14:textId="77777777" w:rsidR="006C3B65" w:rsidRPr="002965EC" w:rsidRDefault="006C3B65" w:rsidP="006C3B65">
      <w:pPr>
        <w:rPr>
          <w:rFonts w:ascii="Arial" w:hAnsi="Arial" w:cs="Arial"/>
        </w:rPr>
      </w:pPr>
      <w:r w:rsidRPr="002965EC">
        <w:rPr>
          <w:rFonts w:ascii="Arial" w:hAnsi="Arial" w:cs="Arial"/>
        </w:rPr>
        <w:t xml:space="preserve">Access for women to the different UIF benefits is further enhanced by the 823 visiting points that the already stated 126 </w:t>
      </w:r>
      <w:proofErr w:type="spellStart"/>
      <w:r w:rsidRPr="002965EC">
        <w:rPr>
          <w:rFonts w:ascii="Arial" w:hAnsi="Arial" w:cs="Arial"/>
        </w:rPr>
        <w:t>labour</w:t>
      </w:r>
      <w:proofErr w:type="spellEnd"/>
      <w:r w:rsidRPr="002965EC">
        <w:rPr>
          <w:rFonts w:ascii="Arial" w:hAnsi="Arial" w:cs="Arial"/>
        </w:rPr>
        <w:t xml:space="preserve"> </w:t>
      </w:r>
      <w:proofErr w:type="spellStart"/>
      <w:r w:rsidRPr="002965EC">
        <w:rPr>
          <w:rFonts w:ascii="Arial" w:hAnsi="Arial" w:cs="Arial"/>
        </w:rPr>
        <w:t>centres</w:t>
      </w:r>
      <w:proofErr w:type="spellEnd"/>
      <w:r w:rsidRPr="002965EC">
        <w:rPr>
          <w:rFonts w:ascii="Arial" w:hAnsi="Arial" w:cs="Arial"/>
        </w:rPr>
        <w:t xml:space="preserve"> service. The UIF has made significant progress in implementing the Information Technology infrastructure upgrades: related action items: Infrastructure upgrade, installation of Biometric system, Wi-Fi system, and Queue Management System in all 126 </w:t>
      </w:r>
      <w:proofErr w:type="spellStart"/>
      <w:r w:rsidRPr="002965EC">
        <w:rPr>
          <w:rFonts w:ascii="Arial" w:hAnsi="Arial" w:cs="Arial"/>
        </w:rPr>
        <w:t>Labour</w:t>
      </w:r>
      <w:proofErr w:type="spellEnd"/>
      <w:r w:rsidRPr="002965EC">
        <w:rPr>
          <w:rFonts w:ascii="Arial" w:hAnsi="Arial" w:cs="Arial"/>
        </w:rPr>
        <w:t xml:space="preserve"> </w:t>
      </w:r>
      <w:proofErr w:type="spellStart"/>
      <w:r w:rsidRPr="002965EC">
        <w:rPr>
          <w:rFonts w:ascii="Arial" w:hAnsi="Arial" w:cs="Arial"/>
        </w:rPr>
        <w:t>Centres</w:t>
      </w:r>
      <w:proofErr w:type="spellEnd"/>
      <w:r w:rsidRPr="002965EC">
        <w:rPr>
          <w:rFonts w:ascii="Arial" w:hAnsi="Arial" w:cs="Arial"/>
        </w:rPr>
        <w:t xml:space="preserve">. These IT systems are crucial for the ease and comfort of access, particularly too for women with new children applying for their maternity benefit. Related to this is the timeframe within which women can access their maternity benefit. The timeline is important as new mothers may not be able to travel and wait in the various </w:t>
      </w:r>
      <w:proofErr w:type="spellStart"/>
      <w:r w:rsidRPr="002965EC">
        <w:rPr>
          <w:rFonts w:ascii="Arial" w:hAnsi="Arial" w:cs="Arial"/>
        </w:rPr>
        <w:t>labour</w:t>
      </w:r>
      <w:proofErr w:type="spellEnd"/>
      <w:r w:rsidRPr="002965EC">
        <w:rPr>
          <w:rFonts w:ascii="Arial" w:hAnsi="Arial" w:cs="Arial"/>
        </w:rPr>
        <w:t xml:space="preserve"> </w:t>
      </w:r>
      <w:proofErr w:type="spellStart"/>
      <w:r w:rsidRPr="002965EC">
        <w:rPr>
          <w:rFonts w:ascii="Arial" w:hAnsi="Arial" w:cs="Arial"/>
        </w:rPr>
        <w:t>centres</w:t>
      </w:r>
      <w:proofErr w:type="spellEnd"/>
      <w:r w:rsidRPr="002965EC">
        <w:rPr>
          <w:rFonts w:ascii="Arial" w:hAnsi="Arial" w:cs="Arial"/>
        </w:rPr>
        <w:t xml:space="preserve"> to apply for their maternity benefit. The Information Technology infrastructure – through the U-filing system is especially a crucial access facilitation point for women accessing their maternity benefits.</w:t>
      </w:r>
    </w:p>
    <w:p w14:paraId="03C6EBBC" w14:textId="77777777" w:rsidR="006C3B65" w:rsidRPr="002965EC" w:rsidRDefault="006C3B65" w:rsidP="006C3B65">
      <w:pPr>
        <w:rPr>
          <w:rFonts w:ascii="Arial" w:hAnsi="Arial" w:cs="Arial"/>
        </w:rPr>
      </w:pPr>
      <w:r w:rsidRPr="002965EC">
        <w:rPr>
          <w:rFonts w:ascii="Arial" w:hAnsi="Arial" w:cs="Arial"/>
        </w:rPr>
        <w:t xml:space="preserve">In addition, the u-Filing system is also being revamped to enable employers to easily declare employees and pay contributions. Part of this plan is to streamline the processing of claims by decentralizing it to </w:t>
      </w:r>
      <w:proofErr w:type="spellStart"/>
      <w:r w:rsidRPr="002965EC">
        <w:rPr>
          <w:rFonts w:ascii="Arial" w:hAnsi="Arial" w:cs="Arial"/>
        </w:rPr>
        <w:t>Labour</w:t>
      </w:r>
      <w:proofErr w:type="spellEnd"/>
      <w:r w:rsidRPr="002965EC">
        <w:rPr>
          <w:rFonts w:ascii="Arial" w:hAnsi="Arial" w:cs="Arial"/>
        </w:rPr>
        <w:t xml:space="preserve"> </w:t>
      </w:r>
      <w:proofErr w:type="spellStart"/>
      <w:r w:rsidRPr="002965EC">
        <w:rPr>
          <w:rFonts w:ascii="Arial" w:hAnsi="Arial" w:cs="Arial"/>
        </w:rPr>
        <w:t>Centres</w:t>
      </w:r>
      <w:proofErr w:type="spellEnd"/>
      <w:r w:rsidRPr="002965EC">
        <w:rPr>
          <w:rFonts w:ascii="Arial" w:hAnsi="Arial" w:cs="Arial"/>
        </w:rPr>
        <w:t xml:space="preserve"> so that claims can be finalized at </w:t>
      </w:r>
      <w:proofErr w:type="spellStart"/>
      <w:r w:rsidRPr="002965EC">
        <w:rPr>
          <w:rFonts w:ascii="Arial" w:hAnsi="Arial" w:cs="Arial"/>
        </w:rPr>
        <w:t>Labour</w:t>
      </w:r>
      <w:proofErr w:type="spellEnd"/>
      <w:r w:rsidRPr="002965EC">
        <w:rPr>
          <w:rFonts w:ascii="Arial" w:hAnsi="Arial" w:cs="Arial"/>
        </w:rPr>
        <w:t xml:space="preserve"> </w:t>
      </w:r>
      <w:proofErr w:type="spellStart"/>
      <w:r w:rsidRPr="002965EC">
        <w:rPr>
          <w:rFonts w:ascii="Arial" w:hAnsi="Arial" w:cs="Arial"/>
        </w:rPr>
        <w:t>Centres</w:t>
      </w:r>
      <w:proofErr w:type="spellEnd"/>
      <w:r w:rsidRPr="002965EC">
        <w:rPr>
          <w:rFonts w:ascii="Arial" w:hAnsi="Arial" w:cs="Arial"/>
        </w:rPr>
        <w:t>, thus reducing delays in making payments to our clients</w:t>
      </w:r>
    </w:p>
    <w:p w14:paraId="014E39AF" w14:textId="77777777" w:rsidR="006C3B65" w:rsidRPr="002965EC" w:rsidRDefault="006C3B65" w:rsidP="006C3B65">
      <w:pPr>
        <w:rPr>
          <w:rFonts w:ascii="Arial" w:hAnsi="Arial" w:cs="Arial"/>
        </w:rPr>
      </w:pPr>
      <w:r w:rsidRPr="002965EC">
        <w:rPr>
          <w:rFonts w:ascii="Arial" w:hAnsi="Arial" w:cs="Arial"/>
        </w:rPr>
        <w:t xml:space="preserve">The UIF has </w:t>
      </w:r>
      <w:r w:rsidR="000355B9" w:rsidRPr="002965EC">
        <w:rPr>
          <w:rFonts w:ascii="Arial" w:hAnsi="Arial" w:cs="Arial"/>
        </w:rPr>
        <w:t>endeavored</w:t>
      </w:r>
      <w:r w:rsidRPr="002965EC">
        <w:rPr>
          <w:rFonts w:ascii="Arial" w:hAnsi="Arial" w:cs="Arial"/>
        </w:rPr>
        <w:t xml:space="preserve"> to decrease its turn-around time in processing claims. As such, the period to </w:t>
      </w:r>
      <w:proofErr w:type="spellStart"/>
      <w:r w:rsidRPr="002965EC">
        <w:rPr>
          <w:rFonts w:ascii="Arial" w:hAnsi="Arial" w:cs="Arial"/>
        </w:rPr>
        <w:t>finalise</w:t>
      </w:r>
      <w:proofErr w:type="spellEnd"/>
      <w:r w:rsidRPr="002965EC">
        <w:rPr>
          <w:rFonts w:ascii="Arial" w:hAnsi="Arial" w:cs="Arial"/>
        </w:rPr>
        <w:t xml:space="preserve"> claims has been reduced to 15 days for the ordinary unemployment benefit, 5 days for in-Service (Maternity, Illness and Adoption) and 10 days for deceased benefit. The UIF targeted the finalization of 90% of the </w:t>
      </w:r>
      <w:r w:rsidRPr="002965EC">
        <w:rPr>
          <w:rFonts w:ascii="Arial" w:hAnsi="Arial" w:cs="Arial"/>
        </w:rPr>
        <w:lastRenderedPageBreak/>
        <w:t>unemployment claims and achieved 83% of this target. This has no doubt improved the lives of many claimants who rely on the income and a job loss.  Thus, the majority of workers who claimed for unemployment benefit were able to receive payments within a short space of time, thus easing their financial burden and enabling them to meet their immediate needs.</w:t>
      </w:r>
    </w:p>
    <w:p w14:paraId="31078C66" w14:textId="77777777" w:rsidR="009D2CAC" w:rsidRPr="00F13E5B" w:rsidRDefault="009D2CAC" w:rsidP="006C3B65">
      <w:pPr>
        <w:rPr>
          <w:rFonts w:ascii="Arial" w:hAnsi="Arial" w:cs="Arial"/>
          <w:b/>
        </w:rPr>
      </w:pPr>
      <w:r w:rsidRPr="00F13E5B">
        <w:rPr>
          <w:rFonts w:ascii="Arial" w:hAnsi="Arial" w:cs="Arial"/>
          <w:b/>
        </w:rPr>
        <w:t>Other Forms of Social Protection</w:t>
      </w:r>
    </w:p>
    <w:p w14:paraId="09A1E3C6" w14:textId="77777777" w:rsidR="00CE2708" w:rsidRPr="002965EC" w:rsidRDefault="00D4075C" w:rsidP="006C3B65">
      <w:pPr>
        <w:rPr>
          <w:rFonts w:ascii="Arial" w:hAnsi="Arial" w:cs="Arial"/>
        </w:rPr>
      </w:pPr>
      <w:r w:rsidRPr="002965EC">
        <w:rPr>
          <w:rFonts w:ascii="Arial" w:hAnsi="Arial" w:cs="Arial"/>
        </w:rPr>
        <w:t>Social Relief of Distress provides temporary income support, food parcels and other forms of relief to people experiencing undue hardship.</w:t>
      </w:r>
    </w:p>
    <w:p w14:paraId="22ABE32F" w14:textId="77777777" w:rsidR="002C59ED" w:rsidRPr="002965EC" w:rsidRDefault="002C59ED" w:rsidP="006C3B65">
      <w:pPr>
        <w:rPr>
          <w:rFonts w:ascii="Arial" w:hAnsi="Arial" w:cs="Arial"/>
          <w:b/>
        </w:rPr>
      </w:pPr>
      <w:r w:rsidRPr="002965EC">
        <w:rPr>
          <w:rFonts w:ascii="Arial" w:hAnsi="Arial" w:cs="Arial"/>
          <w:b/>
        </w:rPr>
        <w:t xml:space="preserve">ISIBINDI Programme </w:t>
      </w:r>
    </w:p>
    <w:p w14:paraId="37373F67" w14:textId="77777777" w:rsidR="003D3776" w:rsidRPr="002965EC" w:rsidRDefault="003D3776" w:rsidP="003D3776">
      <w:pPr>
        <w:rPr>
          <w:rFonts w:ascii="Arial" w:hAnsi="Arial" w:cs="Arial"/>
        </w:rPr>
      </w:pPr>
      <w:r w:rsidRPr="002965EC">
        <w:rPr>
          <w:rFonts w:ascii="Arial" w:hAnsi="Arial" w:cs="Arial"/>
        </w:rPr>
        <w:t xml:space="preserve">The objective of the programme is to provide direct services to the vulnerable youth and children through trained child and youth care workers Almost 300 </w:t>
      </w:r>
      <w:proofErr w:type="spellStart"/>
      <w:r w:rsidRPr="002965EC">
        <w:rPr>
          <w:rFonts w:ascii="Arial" w:hAnsi="Arial" w:cs="Arial"/>
        </w:rPr>
        <w:t>Isibindi</w:t>
      </w:r>
      <w:proofErr w:type="spellEnd"/>
      <w:r w:rsidRPr="002965EC">
        <w:rPr>
          <w:rFonts w:ascii="Arial" w:hAnsi="Arial" w:cs="Arial"/>
        </w:rPr>
        <w:t xml:space="preserve"> projects have been replicated across South African provinces, serving over 100 000 children who would otherwise have fallen outside of the care and protection matrix. Table 3 shows that to date more than 1 969 198 children have been reached. The North West province had a target of 76 000 and reached 551 090 children and youth in 2017.  Eastern Cape, Free State and Gauteng are yet to meet their targets. </w:t>
      </w:r>
    </w:p>
    <w:p w14:paraId="5D8832E3" w14:textId="665BCFA1" w:rsidR="00E31912" w:rsidRPr="002965EC" w:rsidRDefault="00E31912" w:rsidP="003D3776">
      <w:pPr>
        <w:rPr>
          <w:rFonts w:ascii="Arial" w:hAnsi="Arial" w:cs="Arial"/>
          <w:b/>
        </w:rPr>
      </w:pPr>
      <w:r w:rsidRPr="002965EC">
        <w:rPr>
          <w:rFonts w:ascii="Arial" w:hAnsi="Arial" w:cs="Arial"/>
          <w:b/>
        </w:rPr>
        <w:t xml:space="preserve">Table 3 Community Based Child </w:t>
      </w:r>
      <w:proofErr w:type="gramStart"/>
      <w:r w:rsidRPr="002965EC">
        <w:rPr>
          <w:rFonts w:ascii="Arial" w:hAnsi="Arial" w:cs="Arial"/>
          <w:b/>
        </w:rPr>
        <w:t>And</w:t>
      </w:r>
      <w:proofErr w:type="gramEnd"/>
      <w:r w:rsidRPr="002965EC">
        <w:rPr>
          <w:rFonts w:ascii="Arial" w:hAnsi="Arial" w:cs="Arial"/>
          <w:b/>
        </w:rPr>
        <w:t xml:space="preserve"> Youth Care </w:t>
      </w:r>
      <w:proofErr w:type="spellStart"/>
      <w:r w:rsidRPr="002965EC">
        <w:rPr>
          <w:rFonts w:ascii="Arial" w:hAnsi="Arial" w:cs="Arial"/>
          <w:b/>
        </w:rPr>
        <w:t>Programme</w:t>
      </w:r>
      <w:proofErr w:type="spellEnd"/>
      <w:r w:rsidR="00AC1543">
        <w:rPr>
          <w:rFonts w:ascii="Arial" w:hAnsi="Arial" w:cs="Arial"/>
          <w:b/>
        </w:rPr>
        <w:t xml:space="preserve"> </w:t>
      </w:r>
      <w:r w:rsidRPr="00B6725B">
        <w:rPr>
          <w:rFonts w:ascii="Arial" w:hAnsi="Arial" w:cs="Arial"/>
          <w:b/>
        </w:rPr>
        <w:t>(ISIBINDI)</w:t>
      </w:r>
    </w:p>
    <w:tbl>
      <w:tblPr>
        <w:tblW w:w="0" w:type="auto"/>
        <w:tblLayout w:type="fixed"/>
        <w:tblLook w:val="04A0" w:firstRow="1" w:lastRow="0" w:firstColumn="1" w:lastColumn="0" w:noHBand="0" w:noVBand="1"/>
      </w:tblPr>
      <w:tblGrid>
        <w:gridCol w:w="1390"/>
        <w:gridCol w:w="1154"/>
        <w:gridCol w:w="1139"/>
        <w:gridCol w:w="1139"/>
        <w:gridCol w:w="1139"/>
        <w:gridCol w:w="1038"/>
        <w:gridCol w:w="1038"/>
        <w:gridCol w:w="1539"/>
      </w:tblGrid>
      <w:tr w:rsidR="00B6725B" w:rsidRPr="00B6725B" w14:paraId="178C9DD2" w14:textId="77777777" w:rsidTr="00E1016B">
        <w:trPr>
          <w:trHeight w:val="300"/>
        </w:trPr>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5162A" w14:textId="77777777" w:rsidR="00B6725B" w:rsidRPr="00B6725B" w:rsidRDefault="00B6725B" w:rsidP="00B6725B">
            <w:pPr>
              <w:spacing w:after="0" w:line="240" w:lineRule="auto"/>
              <w:jc w:val="left"/>
              <w:rPr>
                <w:rFonts w:ascii="Arial" w:eastAsia="Times New Roman" w:hAnsi="Arial" w:cs="Arial"/>
                <w:b/>
                <w:color w:val="000000"/>
                <w:sz w:val="20"/>
                <w:szCs w:val="20"/>
                <w:lang w:val="en-ZA" w:eastAsia="en-ZA"/>
              </w:rPr>
            </w:pPr>
            <w:r w:rsidRPr="00B6725B">
              <w:rPr>
                <w:rFonts w:ascii="Arial" w:eastAsia="Times New Roman" w:hAnsi="Arial" w:cs="Arial"/>
                <w:b/>
                <w:color w:val="000000"/>
                <w:sz w:val="20"/>
                <w:szCs w:val="20"/>
                <w:lang w:val="en-ZA" w:eastAsia="en-ZA"/>
              </w:rPr>
              <w:t xml:space="preserve">Province </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14:paraId="3D003215" w14:textId="77777777" w:rsidR="00B6725B" w:rsidRPr="00B6725B" w:rsidRDefault="00B6725B" w:rsidP="00E1016B">
            <w:pPr>
              <w:spacing w:after="0" w:line="240" w:lineRule="auto"/>
              <w:jc w:val="center"/>
              <w:rPr>
                <w:rFonts w:ascii="Arial" w:eastAsia="Times New Roman" w:hAnsi="Arial" w:cs="Arial"/>
                <w:b/>
                <w:color w:val="000000"/>
                <w:sz w:val="20"/>
                <w:szCs w:val="20"/>
                <w:lang w:val="en-ZA" w:eastAsia="en-ZA"/>
              </w:rPr>
            </w:pPr>
            <w:r w:rsidRPr="00B6725B">
              <w:rPr>
                <w:rFonts w:ascii="Arial" w:eastAsia="Times New Roman" w:hAnsi="Arial" w:cs="Arial"/>
                <w:b/>
                <w:color w:val="000000"/>
                <w:sz w:val="20"/>
                <w:szCs w:val="20"/>
                <w:lang w:val="en-ZA" w:eastAsia="en-ZA"/>
              </w:rPr>
              <w:t>Total Target</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4B8E2DE3" w14:textId="77777777" w:rsidR="00B6725B" w:rsidRPr="00B6725B" w:rsidRDefault="00B6725B" w:rsidP="00E1016B">
            <w:pPr>
              <w:spacing w:after="0" w:line="240" w:lineRule="auto"/>
              <w:jc w:val="center"/>
              <w:rPr>
                <w:rFonts w:ascii="Arial" w:eastAsia="Times New Roman" w:hAnsi="Arial" w:cs="Arial"/>
                <w:b/>
                <w:color w:val="000000"/>
                <w:sz w:val="20"/>
                <w:szCs w:val="20"/>
                <w:lang w:val="en-ZA" w:eastAsia="en-ZA"/>
              </w:rPr>
            </w:pPr>
            <w:r w:rsidRPr="00B6725B">
              <w:rPr>
                <w:rFonts w:ascii="Arial" w:eastAsia="Times New Roman" w:hAnsi="Arial" w:cs="Arial"/>
                <w:b/>
                <w:color w:val="000000"/>
                <w:sz w:val="20"/>
                <w:szCs w:val="20"/>
                <w:lang w:val="en-ZA" w:eastAsia="en-ZA"/>
              </w:rPr>
              <w:t>Actual 2013</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28834AA3" w14:textId="77777777" w:rsidR="00B6725B" w:rsidRPr="00B6725B" w:rsidRDefault="00B6725B" w:rsidP="00E1016B">
            <w:pPr>
              <w:spacing w:after="0" w:line="240" w:lineRule="auto"/>
              <w:jc w:val="center"/>
              <w:rPr>
                <w:rFonts w:ascii="Arial" w:eastAsia="Times New Roman" w:hAnsi="Arial" w:cs="Arial"/>
                <w:b/>
                <w:color w:val="000000"/>
                <w:sz w:val="20"/>
                <w:szCs w:val="20"/>
                <w:lang w:val="en-ZA" w:eastAsia="en-ZA"/>
              </w:rPr>
            </w:pPr>
            <w:r w:rsidRPr="00B6725B">
              <w:rPr>
                <w:rFonts w:ascii="Arial" w:eastAsia="Times New Roman" w:hAnsi="Arial" w:cs="Arial"/>
                <w:b/>
                <w:color w:val="000000"/>
                <w:sz w:val="20"/>
                <w:szCs w:val="20"/>
                <w:lang w:val="en-ZA" w:eastAsia="en-ZA"/>
              </w:rPr>
              <w:t>Actual 2014</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4FD31BA4" w14:textId="77777777" w:rsidR="00B6725B" w:rsidRPr="00B6725B" w:rsidRDefault="00B6725B" w:rsidP="00E1016B">
            <w:pPr>
              <w:spacing w:after="0" w:line="240" w:lineRule="auto"/>
              <w:jc w:val="center"/>
              <w:rPr>
                <w:rFonts w:ascii="Arial" w:eastAsia="Times New Roman" w:hAnsi="Arial" w:cs="Arial"/>
                <w:b/>
                <w:color w:val="000000"/>
                <w:sz w:val="20"/>
                <w:szCs w:val="20"/>
                <w:lang w:val="en-ZA" w:eastAsia="en-ZA"/>
              </w:rPr>
            </w:pPr>
            <w:r w:rsidRPr="00B6725B">
              <w:rPr>
                <w:rFonts w:ascii="Arial" w:eastAsia="Times New Roman" w:hAnsi="Arial" w:cs="Arial"/>
                <w:b/>
                <w:color w:val="000000"/>
                <w:sz w:val="20"/>
                <w:szCs w:val="20"/>
                <w:lang w:val="en-ZA" w:eastAsia="en-ZA"/>
              </w:rPr>
              <w:t>Actual 2015</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70D846E8" w14:textId="77777777" w:rsidR="00B6725B" w:rsidRPr="00B6725B" w:rsidRDefault="00B6725B" w:rsidP="00E1016B">
            <w:pPr>
              <w:spacing w:after="0" w:line="240" w:lineRule="auto"/>
              <w:jc w:val="center"/>
              <w:rPr>
                <w:rFonts w:ascii="Arial" w:eastAsia="Times New Roman" w:hAnsi="Arial" w:cs="Arial"/>
                <w:b/>
                <w:color w:val="000000"/>
                <w:sz w:val="20"/>
                <w:szCs w:val="20"/>
                <w:lang w:val="en-ZA" w:eastAsia="en-ZA"/>
              </w:rPr>
            </w:pPr>
            <w:r w:rsidRPr="00B6725B">
              <w:rPr>
                <w:rFonts w:ascii="Arial" w:eastAsia="Times New Roman" w:hAnsi="Arial" w:cs="Arial"/>
                <w:b/>
                <w:color w:val="000000"/>
                <w:sz w:val="20"/>
                <w:szCs w:val="20"/>
                <w:lang w:val="en-ZA" w:eastAsia="en-ZA"/>
              </w:rPr>
              <w:t>Actual 2016</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34251470" w14:textId="77777777" w:rsidR="00B6725B" w:rsidRPr="00B6725B" w:rsidRDefault="00B6725B" w:rsidP="00E1016B">
            <w:pPr>
              <w:spacing w:after="0" w:line="240" w:lineRule="auto"/>
              <w:jc w:val="center"/>
              <w:rPr>
                <w:rFonts w:ascii="Arial" w:eastAsia="Times New Roman" w:hAnsi="Arial" w:cs="Arial"/>
                <w:b/>
                <w:color w:val="000000"/>
                <w:sz w:val="20"/>
                <w:szCs w:val="20"/>
                <w:lang w:val="en-ZA" w:eastAsia="en-ZA"/>
              </w:rPr>
            </w:pPr>
            <w:r w:rsidRPr="00B6725B">
              <w:rPr>
                <w:rFonts w:ascii="Arial" w:eastAsia="Times New Roman" w:hAnsi="Arial" w:cs="Arial"/>
                <w:b/>
                <w:color w:val="000000"/>
                <w:sz w:val="20"/>
                <w:szCs w:val="20"/>
                <w:lang w:val="en-ZA" w:eastAsia="en-ZA"/>
              </w:rPr>
              <w:t>Actual 2017</w:t>
            </w:r>
          </w:p>
        </w:tc>
        <w:tc>
          <w:tcPr>
            <w:tcW w:w="1539" w:type="dxa"/>
            <w:tcBorders>
              <w:top w:val="single" w:sz="4" w:space="0" w:color="auto"/>
              <w:left w:val="nil"/>
              <w:bottom w:val="single" w:sz="4" w:space="0" w:color="auto"/>
              <w:right w:val="single" w:sz="4" w:space="0" w:color="auto"/>
            </w:tcBorders>
            <w:shd w:val="clear" w:color="auto" w:fill="auto"/>
            <w:noWrap/>
            <w:vAlign w:val="bottom"/>
            <w:hideMark/>
          </w:tcPr>
          <w:p w14:paraId="0D8DE4BB" w14:textId="77777777" w:rsidR="00B6725B" w:rsidRPr="00B6725B" w:rsidRDefault="00B6725B" w:rsidP="00E1016B">
            <w:pPr>
              <w:spacing w:after="0" w:line="240" w:lineRule="auto"/>
              <w:jc w:val="center"/>
              <w:rPr>
                <w:rFonts w:ascii="Arial" w:eastAsia="Times New Roman" w:hAnsi="Arial" w:cs="Arial"/>
                <w:b/>
                <w:color w:val="000000"/>
                <w:sz w:val="20"/>
                <w:szCs w:val="20"/>
                <w:lang w:val="en-ZA" w:eastAsia="en-ZA"/>
              </w:rPr>
            </w:pPr>
            <w:r w:rsidRPr="00B6725B">
              <w:rPr>
                <w:rFonts w:ascii="Arial" w:eastAsia="Times New Roman" w:hAnsi="Arial" w:cs="Arial"/>
                <w:b/>
                <w:color w:val="000000"/>
                <w:sz w:val="20"/>
                <w:szCs w:val="20"/>
                <w:lang w:val="en-ZA" w:eastAsia="en-ZA"/>
              </w:rPr>
              <w:t>Total since roll-out</w:t>
            </w:r>
          </w:p>
        </w:tc>
      </w:tr>
      <w:tr w:rsidR="00B6725B" w:rsidRPr="00B6725B" w14:paraId="1A66E7F8" w14:textId="77777777" w:rsidTr="00E1016B">
        <w:trPr>
          <w:trHeight w:val="300"/>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088F4A7F" w14:textId="77777777" w:rsidR="00B6725B" w:rsidRPr="00B6725B" w:rsidRDefault="00B6725B" w:rsidP="00B6725B">
            <w:pPr>
              <w:spacing w:after="0" w:line="240" w:lineRule="auto"/>
              <w:jc w:val="left"/>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 xml:space="preserve">Eastern Cape </w:t>
            </w:r>
          </w:p>
        </w:tc>
        <w:tc>
          <w:tcPr>
            <w:tcW w:w="1154" w:type="dxa"/>
            <w:tcBorders>
              <w:top w:val="nil"/>
              <w:left w:val="nil"/>
              <w:bottom w:val="single" w:sz="4" w:space="0" w:color="auto"/>
              <w:right w:val="single" w:sz="4" w:space="0" w:color="auto"/>
            </w:tcBorders>
            <w:shd w:val="clear" w:color="auto" w:fill="auto"/>
            <w:noWrap/>
            <w:vAlign w:val="bottom"/>
            <w:hideMark/>
          </w:tcPr>
          <w:p w14:paraId="7C29AF5E"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196 000</w:t>
            </w:r>
          </w:p>
        </w:tc>
        <w:tc>
          <w:tcPr>
            <w:tcW w:w="1139" w:type="dxa"/>
            <w:tcBorders>
              <w:top w:val="nil"/>
              <w:left w:val="nil"/>
              <w:bottom w:val="single" w:sz="4" w:space="0" w:color="auto"/>
              <w:right w:val="single" w:sz="4" w:space="0" w:color="auto"/>
            </w:tcBorders>
            <w:shd w:val="clear" w:color="auto" w:fill="auto"/>
            <w:noWrap/>
            <w:vAlign w:val="bottom"/>
            <w:hideMark/>
          </w:tcPr>
          <w:p w14:paraId="6639A30E"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15 477</w:t>
            </w:r>
          </w:p>
        </w:tc>
        <w:tc>
          <w:tcPr>
            <w:tcW w:w="1139" w:type="dxa"/>
            <w:tcBorders>
              <w:top w:val="nil"/>
              <w:left w:val="nil"/>
              <w:bottom w:val="single" w:sz="4" w:space="0" w:color="auto"/>
              <w:right w:val="single" w:sz="4" w:space="0" w:color="auto"/>
            </w:tcBorders>
            <w:shd w:val="clear" w:color="auto" w:fill="auto"/>
            <w:noWrap/>
            <w:vAlign w:val="bottom"/>
            <w:hideMark/>
          </w:tcPr>
          <w:p w14:paraId="4C313E4E"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16 599</w:t>
            </w:r>
          </w:p>
        </w:tc>
        <w:tc>
          <w:tcPr>
            <w:tcW w:w="1139" w:type="dxa"/>
            <w:tcBorders>
              <w:top w:val="nil"/>
              <w:left w:val="nil"/>
              <w:bottom w:val="single" w:sz="4" w:space="0" w:color="auto"/>
              <w:right w:val="single" w:sz="4" w:space="0" w:color="auto"/>
            </w:tcBorders>
            <w:shd w:val="clear" w:color="auto" w:fill="auto"/>
            <w:noWrap/>
            <w:vAlign w:val="bottom"/>
            <w:hideMark/>
          </w:tcPr>
          <w:p w14:paraId="18301798"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34 631</w:t>
            </w:r>
          </w:p>
        </w:tc>
        <w:tc>
          <w:tcPr>
            <w:tcW w:w="1038" w:type="dxa"/>
            <w:tcBorders>
              <w:top w:val="nil"/>
              <w:left w:val="nil"/>
              <w:bottom w:val="single" w:sz="4" w:space="0" w:color="auto"/>
              <w:right w:val="single" w:sz="4" w:space="0" w:color="auto"/>
            </w:tcBorders>
            <w:shd w:val="clear" w:color="auto" w:fill="auto"/>
            <w:noWrap/>
            <w:vAlign w:val="bottom"/>
            <w:hideMark/>
          </w:tcPr>
          <w:p w14:paraId="0805F338"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25 513</w:t>
            </w:r>
          </w:p>
        </w:tc>
        <w:tc>
          <w:tcPr>
            <w:tcW w:w="1038" w:type="dxa"/>
            <w:tcBorders>
              <w:top w:val="nil"/>
              <w:left w:val="nil"/>
              <w:bottom w:val="single" w:sz="4" w:space="0" w:color="auto"/>
              <w:right w:val="single" w:sz="4" w:space="0" w:color="auto"/>
            </w:tcBorders>
            <w:shd w:val="clear" w:color="auto" w:fill="auto"/>
            <w:noWrap/>
            <w:vAlign w:val="bottom"/>
            <w:hideMark/>
          </w:tcPr>
          <w:p w14:paraId="67506C61"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51 855</w:t>
            </w:r>
          </w:p>
        </w:tc>
        <w:tc>
          <w:tcPr>
            <w:tcW w:w="1539" w:type="dxa"/>
            <w:tcBorders>
              <w:top w:val="nil"/>
              <w:left w:val="nil"/>
              <w:bottom w:val="single" w:sz="4" w:space="0" w:color="auto"/>
              <w:right w:val="single" w:sz="4" w:space="0" w:color="auto"/>
            </w:tcBorders>
            <w:shd w:val="clear" w:color="auto" w:fill="auto"/>
            <w:noWrap/>
            <w:vAlign w:val="bottom"/>
            <w:hideMark/>
          </w:tcPr>
          <w:p w14:paraId="135AB88E"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144 075</w:t>
            </w:r>
          </w:p>
        </w:tc>
      </w:tr>
      <w:tr w:rsidR="00B6725B" w:rsidRPr="00B6725B" w14:paraId="70E7D667" w14:textId="77777777" w:rsidTr="00E1016B">
        <w:trPr>
          <w:trHeight w:val="300"/>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78DDDA66" w14:textId="77777777" w:rsidR="00B6725B" w:rsidRPr="00B6725B" w:rsidRDefault="00B6725B" w:rsidP="00B6725B">
            <w:pPr>
              <w:spacing w:after="0" w:line="240" w:lineRule="auto"/>
              <w:jc w:val="left"/>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 xml:space="preserve">Free State </w:t>
            </w:r>
          </w:p>
        </w:tc>
        <w:tc>
          <w:tcPr>
            <w:tcW w:w="1154" w:type="dxa"/>
            <w:tcBorders>
              <w:top w:val="nil"/>
              <w:left w:val="nil"/>
              <w:bottom w:val="single" w:sz="4" w:space="0" w:color="auto"/>
              <w:right w:val="single" w:sz="4" w:space="0" w:color="auto"/>
            </w:tcBorders>
            <w:shd w:val="clear" w:color="auto" w:fill="auto"/>
            <w:noWrap/>
            <w:vAlign w:val="bottom"/>
            <w:hideMark/>
          </w:tcPr>
          <w:p w14:paraId="72107BEE"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98 000</w:t>
            </w:r>
          </w:p>
        </w:tc>
        <w:tc>
          <w:tcPr>
            <w:tcW w:w="1139" w:type="dxa"/>
            <w:tcBorders>
              <w:top w:val="nil"/>
              <w:left w:val="nil"/>
              <w:bottom w:val="single" w:sz="4" w:space="0" w:color="auto"/>
              <w:right w:val="single" w:sz="4" w:space="0" w:color="auto"/>
            </w:tcBorders>
            <w:shd w:val="clear" w:color="auto" w:fill="auto"/>
            <w:noWrap/>
            <w:vAlign w:val="bottom"/>
            <w:hideMark/>
          </w:tcPr>
          <w:p w14:paraId="7D6F437B"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6 468</w:t>
            </w:r>
          </w:p>
        </w:tc>
        <w:tc>
          <w:tcPr>
            <w:tcW w:w="1139" w:type="dxa"/>
            <w:tcBorders>
              <w:top w:val="nil"/>
              <w:left w:val="nil"/>
              <w:bottom w:val="single" w:sz="4" w:space="0" w:color="auto"/>
              <w:right w:val="single" w:sz="4" w:space="0" w:color="auto"/>
            </w:tcBorders>
            <w:shd w:val="clear" w:color="auto" w:fill="auto"/>
            <w:noWrap/>
            <w:vAlign w:val="bottom"/>
            <w:hideMark/>
          </w:tcPr>
          <w:p w14:paraId="307CC6C9"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11 460</w:t>
            </w:r>
          </w:p>
        </w:tc>
        <w:tc>
          <w:tcPr>
            <w:tcW w:w="1139" w:type="dxa"/>
            <w:tcBorders>
              <w:top w:val="nil"/>
              <w:left w:val="nil"/>
              <w:bottom w:val="single" w:sz="4" w:space="0" w:color="auto"/>
              <w:right w:val="single" w:sz="4" w:space="0" w:color="auto"/>
            </w:tcBorders>
            <w:shd w:val="clear" w:color="auto" w:fill="auto"/>
            <w:noWrap/>
            <w:vAlign w:val="bottom"/>
            <w:hideMark/>
          </w:tcPr>
          <w:p w14:paraId="3DE2E5A9"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20 500</w:t>
            </w:r>
          </w:p>
        </w:tc>
        <w:tc>
          <w:tcPr>
            <w:tcW w:w="1038" w:type="dxa"/>
            <w:tcBorders>
              <w:top w:val="nil"/>
              <w:left w:val="nil"/>
              <w:bottom w:val="single" w:sz="4" w:space="0" w:color="auto"/>
              <w:right w:val="single" w:sz="4" w:space="0" w:color="auto"/>
            </w:tcBorders>
            <w:shd w:val="clear" w:color="auto" w:fill="auto"/>
            <w:noWrap/>
            <w:vAlign w:val="bottom"/>
            <w:hideMark/>
          </w:tcPr>
          <w:p w14:paraId="449159AA"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7 408</w:t>
            </w:r>
          </w:p>
        </w:tc>
        <w:tc>
          <w:tcPr>
            <w:tcW w:w="1038" w:type="dxa"/>
            <w:tcBorders>
              <w:top w:val="nil"/>
              <w:left w:val="nil"/>
              <w:bottom w:val="single" w:sz="4" w:space="0" w:color="auto"/>
              <w:right w:val="single" w:sz="4" w:space="0" w:color="auto"/>
            </w:tcBorders>
            <w:shd w:val="clear" w:color="auto" w:fill="auto"/>
            <w:noWrap/>
            <w:vAlign w:val="bottom"/>
            <w:hideMark/>
          </w:tcPr>
          <w:p w14:paraId="17299D5C"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11 855</w:t>
            </w:r>
          </w:p>
        </w:tc>
        <w:tc>
          <w:tcPr>
            <w:tcW w:w="1539" w:type="dxa"/>
            <w:tcBorders>
              <w:top w:val="nil"/>
              <w:left w:val="nil"/>
              <w:bottom w:val="single" w:sz="4" w:space="0" w:color="auto"/>
              <w:right w:val="single" w:sz="4" w:space="0" w:color="auto"/>
            </w:tcBorders>
            <w:shd w:val="clear" w:color="auto" w:fill="auto"/>
            <w:noWrap/>
            <w:vAlign w:val="bottom"/>
            <w:hideMark/>
          </w:tcPr>
          <w:p w14:paraId="32869AA7"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57 691</w:t>
            </w:r>
          </w:p>
        </w:tc>
      </w:tr>
      <w:tr w:rsidR="00B6725B" w:rsidRPr="00B6725B" w14:paraId="38C9083D" w14:textId="77777777" w:rsidTr="00E1016B">
        <w:trPr>
          <w:trHeight w:val="300"/>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0919102D" w14:textId="77777777" w:rsidR="00B6725B" w:rsidRPr="00B6725B" w:rsidRDefault="00B6725B" w:rsidP="00B6725B">
            <w:pPr>
              <w:spacing w:after="0" w:line="240" w:lineRule="auto"/>
              <w:jc w:val="left"/>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Gauteng</w:t>
            </w:r>
          </w:p>
        </w:tc>
        <w:tc>
          <w:tcPr>
            <w:tcW w:w="1154" w:type="dxa"/>
            <w:tcBorders>
              <w:top w:val="nil"/>
              <w:left w:val="nil"/>
              <w:bottom w:val="single" w:sz="4" w:space="0" w:color="auto"/>
              <w:right w:val="single" w:sz="4" w:space="0" w:color="auto"/>
            </w:tcBorders>
            <w:shd w:val="clear" w:color="auto" w:fill="auto"/>
            <w:noWrap/>
            <w:vAlign w:val="bottom"/>
            <w:hideMark/>
          </w:tcPr>
          <w:p w14:paraId="218E5169"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266 000</w:t>
            </w:r>
          </w:p>
        </w:tc>
        <w:tc>
          <w:tcPr>
            <w:tcW w:w="1139" w:type="dxa"/>
            <w:tcBorders>
              <w:top w:val="nil"/>
              <w:left w:val="nil"/>
              <w:bottom w:val="single" w:sz="4" w:space="0" w:color="auto"/>
              <w:right w:val="single" w:sz="4" w:space="0" w:color="auto"/>
            </w:tcBorders>
            <w:shd w:val="clear" w:color="auto" w:fill="auto"/>
            <w:noWrap/>
            <w:vAlign w:val="bottom"/>
            <w:hideMark/>
          </w:tcPr>
          <w:p w14:paraId="6BD5F26C"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16 120</w:t>
            </w:r>
          </w:p>
        </w:tc>
        <w:tc>
          <w:tcPr>
            <w:tcW w:w="1139" w:type="dxa"/>
            <w:tcBorders>
              <w:top w:val="nil"/>
              <w:left w:val="nil"/>
              <w:bottom w:val="single" w:sz="4" w:space="0" w:color="auto"/>
              <w:right w:val="single" w:sz="4" w:space="0" w:color="auto"/>
            </w:tcBorders>
            <w:shd w:val="clear" w:color="auto" w:fill="auto"/>
            <w:noWrap/>
            <w:vAlign w:val="bottom"/>
            <w:hideMark/>
          </w:tcPr>
          <w:p w14:paraId="09C20BCE"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24 955</w:t>
            </w:r>
          </w:p>
        </w:tc>
        <w:tc>
          <w:tcPr>
            <w:tcW w:w="1139" w:type="dxa"/>
            <w:tcBorders>
              <w:top w:val="nil"/>
              <w:left w:val="nil"/>
              <w:bottom w:val="single" w:sz="4" w:space="0" w:color="auto"/>
              <w:right w:val="single" w:sz="4" w:space="0" w:color="auto"/>
            </w:tcBorders>
            <w:shd w:val="clear" w:color="auto" w:fill="auto"/>
            <w:noWrap/>
            <w:vAlign w:val="bottom"/>
            <w:hideMark/>
          </w:tcPr>
          <w:p w14:paraId="744B86F8"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61 609</w:t>
            </w:r>
          </w:p>
        </w:tc>
        <w:tc>
          <w:tcPr>
            <w:tcW w:w="1038" w:type="dxa"/>
            <w:tcBorders>
              <w:top w:val="nil"/>
              <w:left w:val="nil"/>
              <w:bottom w:val="single" w:sz="4" w:space="0" w:color="auto"/>
              <w:right w:val="single" w:sz="4" w:space="0" w:color="auto"/>
            </w:tcBorders>
            <w:shd w:val="clear" w:color="auto" w:fill="auto"/>
            <w:noWrap/>
            <w:vAlign w:val="bottom"/>
            <w:hideMark/>
          </w:tcPr>
          <w:p w14:paraId="1085CD96"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45 792</w:t>
            </w:r>
          </w:p>
        </w:tc>
        <w:tc>
          <w:tcPr>
            <w:tcW w:w="1038" w:type="dxa"/>
            <w:tcBorders>
              <w:top w:val="nil"/>
              <w:left w:val="nil"/>
              <w:bottom w:val="single" w:sz="4" w:space="0" w:color="auto"/>
              <w:right w:val="single" w:sz="4" w:space="0" w:color="auto"/>
            </w:tcBorders>
            <w:shd w:val="clear" w:color="auto" w:fill="auto"/>
            <w:noWrap/>
            <w:vAlign w:val="bottom"/>
            <w:hideMark/>
          </w:tcPr>
          <w:p w14:paraId="782C9FC6"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12 948</w:t>
            </w:r>
          </w:p>
        </w:tc>
        <w:tc>
          <w:tcPr>
            <w:tcW w:w="1539" w:type="dxa"/>
            <w:tcBorders>
              <w:top w:val="nil"/>
              <w:left w:val="nil"/>
              <w:bottom w:val="single" w:sz="4" w:space="0" w:color="auto"/>
              <w:right w:val="single" w:sz="4" w:space="0" w:color="auto"/>
            </w:tcBorders>
            <w:shd w:val="clear" w:color="auto" w:fill="auto"/>
            <w:noWrap/>
            <w:vAlign w:val="bottom"/>
            <w:hideMark/>
          </w:tcPr>
          <w:p w14:paraId="62FA562E"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161 424</w:t>
            </w:r>
          </w:p>
        </w:tc>
      </w:tr>
      <w:tr w:rsidR="00B6725B" w:rsidRPr="00B6725B" w14:paraId="478D9818" w14:textId="77777777" w:rsidTr="00E1016B">
        <w:trPr>
          <w:trHeight w:val="300"/>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134DEAB9" w14:textId="77777777" w:rsidR="00B6725B" w:rsidRPr="00B6725B" w:rsidRDefault="00B6725B" w:rsidP="00B6725B">
            <w:pPr>
              <w:spacing w:after="0" w:line="240" w:lineRule="auto"/>
              <w:jc w:val="left"/>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 xml:space="preserve">KwaZulu-Natal </w:t>
            </w:r>
          </w:p>
        </w:tc>
        <w:tc>
          <w:tcPr>
            <w:tcW w:w="1154" w:type="dxa"/>
            <w:tcBorders>
              <w:top w:val="nil"/>
              <w:left w:val="nil"/>
              <w:bottom w:val="single" w:sz="4" w:space="0" w:color="auto"/>
              <w:right w:val="single" w:sz="4" w:space="0" w:color="auto"/>
            </w:tcBorders>
            <w:shd w:val="clear" w:color="auto" w:fill="auto"/>
            <w:noWrap/>
            <w:vAlign w:val="bottom"/>
            <w:hideMark/>
          </w:tcPr>
          <w:p w14:paraId="2F327787"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392 000</w:t>
            </w:r>
          </w:p>
        </w:tc>
        <w:tc>
          <w:tcPr>
            <w:tcW w:w="1139" w:type="dxa"/>
            <w:tcBorders>
              <w:top w:val="nil"/>
              <w:left w:val="nil"/>
              <w:bottom w:val="single" w:sz="4" w:space="0" w:color="auto"/>
              <w:right w:val="single" w:sz="4" w:space="0" w:color="auto"/>
            </w:tcBorders>
            <w:shd w:val="clear" w:color="auto" w:fill="auto"/>
            <w:noWrap/>
            <w:vAlign w:val="bottom"/>
            <w:hideMark/>
          </w:tcPr>
          <w:p w14:paraId="3E2031FC"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20 958</w:t>
            </w:r>
          </w:p>
        </w:tc>
        <w:tc>
          <w:tcPr>
            <w:tcW w:w="1139" w:type="dxa"/>
            <w:tcBorders>
              <w:top w:val="nil"/>
              <w:left w:val="nil"/>
              <w:bottom w:val="single" w:sz="4" w:space="0" w:color="auto"/>
              <w:right w:val="single" w:sz="4" w:space="0" w:color="auto"/>
            </w:tcBorders>
            <w:shd w:val="clear" w:color="auto" w:fill="auto"/>
            <w:noWrap/>
            <w:vAlign w:val="bottom"/>
            <w:hideMark/>
          </w:tcPr>
          <w:p w14:paraId="742A765F"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48 678</w:t>
            </w:r>
          </w:p>
        </w:tc>
        <w:tc>
          <w:tcPr>
            <w:tcW w:w="1139" w:type="dxa"/>
            <w:tcBorders>
              <w:top w:val="nil"/>
              <w:left w:val="nil"/>
              <w:bottom w:val="single" w:sz="4" w:space="0" w:color="auto"/>
              <w:right w:val="single" w:sz="4" w:space="0" w:color="auto"/>
            </w:tcBorders>
            <w:shd w:val="clear" w:color="auto" w:fill="auto"/>
            <w:noWrap/>
            <w:vAlign w:val="bottom"/>
            <w:hideMark/>
          </w:tcPr>
          <w:p w14:paraId="1C0C14F2"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138 715</w:t>
            </w:r>
          </w:p>
        </w:tc>
        <w:tc>
          <w:tcPr>
            <w:tcW w:w="1038" w:type="dxa"/>
            <w:tcBorders>
              <w:top w:val="nil"/>
              <w:left w:val="nil"/>
              <w:bottom w:val="single" w:sz="4" w:space="0" w:color="auto"/>
              <w:right w:val="single" w:sz="4" w:space="0" w:color="auto"/>
            </w:tcBorders>
            <w:shd w:val="clear" w:color="auto" w:fill="auto"/>
            <w:noWrap/>
            <w:vAlign w:val="bottom"/>
            <w:hideMark/>
          </w:tcPr>
          <w:p w14:paraId="168C5A43"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79 626</w:t>
            </w:r>
          </w:p>
        </w:tc>
        <w:tc>
          <w:tcPr>
            <w:tcW w:w="1038" w:type="dxa"/>
            <w:tcBorders>
              <w:top w:val="nil"/>
              <w:left w:val="nil"/>
              <w:bottom w:val="single" w:sz="4" w:space="0" w:color="auto"/>
              <w:right w:val="single" w:sz="4" w:space="0" w:color="auto"/>
            </w:tcBorders>
            <w:shd w:val="clear" w:color="auto" w:fill="auto"/>
            <w:noWrap/>
            <w:vAlign w:val="bottom"/>
            <w:hideMark/>
          </w:tcPr>
          <w:p w14:paraId="216F87B8"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184 378</w:t>
            </w:r>
          </w:p>
        </w:tc>
        <w:tc>
          <w:tcPr>
            <w:tcW w:w="1539" w:type="dxa"/>
            <w:tcBorders>
              <w:top w:val="nil"/>
              <w:left w:val="nil"/>
              <w:bottom w:val="single" w:sz="4" w:space="0" w:color="auto"/>
              <w:right w:val="single" w:sz="4" w:space="0" w:color="auto"/>
            </w:tcBorders>
            <w:shd w:val="clear" w:color="auto" w:fill="auto"/>
            <w:noWrap/>
            <w:vAlign w:val="bottom"/>
            <w:hideMark/>
          </w:tcPr>
          <w:p w14:paraId="4EB66D58"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472 355</w:t>
            </w:r>
          </w:p>
        </w:tc>
      </w:tr>
      <w:tr w:rsidR="00B6725B" w:rsidRPr="00B6725B" w14:paraId="32A2EE3F" w14:textId="77777777" w:rsidTr="00E1016B">
        <w:trPr>
          <w:trHeight w:val="300"/>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1E10A35E" w14:textId="77777777" w:rsidR="00B6725B" w:rsidRPr="00B6725B" w:rsidRDefault="00B6725B" w:rsidP="00B6725B">
            <w:pPr>
              <w:spacing w:after="0" w:line="240" w:lineRule="auto"/>
              <w:jc w:val="left"/>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 xml:space="preserve">Limpopo </w:t>
            </w:r>
          </w:p>
        </w:tc>
        <w:tc>
          <w:tcPr>
            <w:tcW w:w="1154" w:type="dxa"/>
            <w:tcBorders>
              <w:top w:val="nil"/>
              <w:left w:val="nil"/>
              <w:bottom w:val="single" w:sz="4" w:space="0" w:color="auto"/>
              <w:right w:val="single" w:sz="4" w:space="0" w:color="auto"/>
            </w:tcBorders>
            <w:shd w:val="clear" w:color="auto" w:fill="auto"/>
            <w:noWrap/>
            <w:vAlign w:val="bottom"/>
            <w:hideMark/>
          </w:tcPr>
          <w:p w14:paraId="7F580E08"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112 000</w:t>
            </w:r>
          </w:p>
        </w:tc>
        <w:tc>
          <w:tcPr>
            <w:tcW w:w="1139" w:type="dxa"/>
            <w:tcBorders>
              <w:top w:val="nil"/>
              <w:left w:val="nil"/>
              <w:bottom w:val="single" w:sz="4" w:space="0" w:color="auto"/>
              <w:right w:val="single" w:sz="4" w:space="0" w:color="auto"/>
            </w:tcBorders>
            <w:shd w:val="clear" w:color="auto" w:fill="auto"/>
            <w:noWrap/>
            <w:vAlign w:val="bottom"/>
            <w:hideMark/>
          </w:tcPr>
          <w:p w14:paraId="701F54A5"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10 915</w:t>
            </w:r>
          </w:p>
        </w:tc>
        <w:tc>
          <w:tcPr>
            <w:tcW w:w="1139" w:type="dxa"/>
            <w:tcBorders>
              <w:top w:val="nil"/>
              <w:left w:val="nil"/>
              <w:bottom w:val="single" w:sz="4" w:space="0" w:color="auto"/>
              <w:right w:val="single" w:sz="4" w:space="0" w:color="auto"/>
            </w:tcBorders>
            <w:shd w:val="clear" w:color="auto" w:fill="auto"/>
            <w:noWrap/>
            <w:vAlign w:val="bottom"/>
            <w:hideMark/>
          </w:tcPr>
          <w:p w14:paraId="7CFF3500"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19 057</w:t>
            </w:r>
          </w:p>
        </w:tc>
        <w:tc>
          <w:tcPr>
            <w:tcW w:w="1139" w:type="dxa"/>
            <w:tcBorders>
              <w:top w:val="nil"/>
              <w:left w:val="nil"/>
              <w:bottom w:val="single" w:sz="4" w:space="0" w:color="auto"/>
              <w:right w:val="single" w:sz="4" w:space="0" w:color="auto"/>
            </w:tcBorders>
            <w:shd w:val="clear" w:color="auto" w:fill="auto"/>
            <w:noWrap/>
            <w:vAlign w:val="bottom"/>
            <w:hideMark/>
          </w:tcPr>
          <w:p w14:paraId="65A132F7"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66 300</w:t>
            </w:r>
          </w:p>
        </w:tc>
        <w:tc>
          <w:tcPr>
            <w:tcW w:w="1038" w:type="dxa"/>
            <w:tcBorders>
              <w:top w:val="nil"/>
              <w:left w:val="nil"/>
              <w:bottom w:val="single" w:sz="4" w:space="0" w:color="auto"/>
              <w:right w:val="single" w:sz="4" w:space="0" w:color="auto"/>
            </w:tcBorders>
            <w:shd w:val="clear" w:color="auto" w:fill="auto"/>
            <w:noWrap/>
            <w:vAlign w:val="bottom"/>
            <w:hideMark/>
          </w:tcPr>
          <w:p w14:paraId="742D1235"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34 025</w:t>
            </w:r>
          </w:p>
        </w:tc>
        <w:tc>
          <w:tcPr>
            <w:tcW w:w="1038" w:type="dxa"/>
            <w:tcBorders>
              <w:top w:val="nil"/>
              <w:left w:val="nil"/>
              <w:bottom w:val="single" w:sz="4" w:space="0" w:color="auto"/>
              <w:right w:val="single" w:sz="4" w:space="0" w:color="auto"/>
            </w:tcBorders>
            <w:shd w:val="clear" w:color="auto" w:fill="auto"/>
            <w:noWrap/>
            <w:vAlign w:val="bottom"/>
            <w:hideMark/>
          </w:tcPr>
          <w:p w14:paraId="00206B5A"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81 404</w:t>
            </w:r>
          </w:p>
        </w:tc>
        <w:tc>
          <w:tcPr>
            <w:tcW w:w="1539" w:type="dxa"/>
            <w:tcBorders>
              <w:top w:val="nil"/>
              <w:left w:val="nil"/>
              <w:bottom w:val="single" w:sz="4" w:space="0" w:color="auto"/>
              <w:right w:val="single" w:sz="4" w:space="0" w:color="auto"/>
            </w:tcBorders>
            <w:shd w:val="clear" w:color="auto" w:fill="auto"/>
            <w:noWrap/>
            <w:vAlign w:val="bottom"/>
            <w:hideMark/>
          </w:tcPr>
          <w:p w14:paraId="76C304FA"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211 701</w:t>
            </w:r>
          </w:p>
        </w:tc>
      </w:tr>
      <w:tr w:rsidR="00B6725B" w:rsidRPr="00B6725B" w14:paraId="2290583C" w14:textId="77777777" w:rsidTr="00E1016B">
        <w:trPr>
          <w:trHeight w:val="300"/>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2F9ABFAE" w14:textId="77777777" w:rsidR="00B6725B" w:rsidRPr="00B6725B" w:rsidRDefault="00B6725B" w:rsidP="00B6725B">
            <w:pPr>
              <w:spacing w:after="0" w:line="240" w:lineRule="auto"/>
              <w:jc w:val="left"/>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 xml:space="preserve">Mpumalanga </w:t>
            </w:r>
          </w:p>
        </w:tc>
        <w:tc>
          <w:tcPr>
            <w:tcW w:w="1154" w:type="dxa"/>
            <w:tcBorders>
              <w:top w:val="nil"/>
              <w:left w:val="nil"/>
              <w:bottom w:val="single" w:sz="4" w:space="0" w:color="auto"/>
              <w:right w:val="single" w:sz="4" w:space="0" w:color="auto"/>
            </w:tcBorders>
            <w:shd w:val="clear" w:color="auto" w:fill="auto"/>
            <w:noWrap/>
            <w:vAlign w:val="bottom"/>
            <w:hideMark/>
          </w:tcPr>
          <w:p w14:paraId="5EB8330D"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126 000</w:t>
            </w:r>
          </w:p>
        </w:tc>
        <w:tc>
          <w:tcPr>
            <w:tcW w:w="1139" w:type="dxa"/>
            <w:tcBorders>
              <w:top w:val="nil"/>
              <w:left w:val="nil"/>
              <w:bottom w:val="single" w:sz="4" w:space="0" w:color="auto"/>
              <w:right w:val="single" w:sz="4" w:space="0" w:color="auto"/>
            </w:tcBorders>
            <w:shd w:val="clear" w:color="auto" w:fill="auto"/>
            <w:noWrap/>
            <w:vAlign w:val="bottom"/>
            <w:hideMark/>
          </w:tcPr>
          <w:p w14:paraId="5B8B6671"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12 614</w:t>
            </w:r>
          </w:p>
        </w:tc>
        <w:tc>
          <w:tcPr>
            <w:tcW w:w="1139" w:type="dxa"/>
            <w:tcBorders>
              <w:top w:val="nil"/>
              <w:left w:val="nil"/>
              <w:bottom w:val="single" w:sz="4" w:space="0" w:color="auto"/>
              <w:right w:val="single" w:sz="4" w:space="0" w:color="auto"/>
            </w:tcBorders>
            <w:shd w:val="clear" w:color="auto" w:fill="auto"/>
            <w:noWrap/>
            <w:vAlign w:val="bottom"/>
            <w:hideMark/>
          </w:tcPr>
          <w:p w14:paraId="0DE5EC66"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20 109</w:t>
            </w:r>
          </w:p>
        </w:tc>
        <w:tc>
          <w:tcPr>
            <w:tcW w:w="1139" w:type="dxa"/>
            <w:tcBorders>
              <w:top w:val="nil"/>
              <w:left w:val="nil"/>
              <w:bottom w:val="single" w:sz="4" w:space="0" w:color="auto"/>
              <w:right w:val="single" w:sz="4" w:space="0" w:color="auto"/>
            </w:tcBorders>
            <w:shd w:val="clear" w:color="auto" w:fill="auto"/>
            <w:noWrap/>
            <w:vAlign w:val="bottom"/>
            <w:hideMark/>
          </w:tcPr>
          <w:p w14:paraId="48AAB562"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47 294</w:t>
            </w:r>
          </w:p>
        </w:tc>
        <w:tc>
          <w:tcPr>
            <w:tcW w:w="1038" w:type="dxa"/>
            <w:tcBorders>
              <w:top w:val="nil"/>
              <w:left w:val="nil"/>
              <w:bottom w:val="single" w:sz="4" w:space="0" w:color="auto"/>
              <w:right w:val="single" w:sz="4" w:space="0" w:color="auto"/>
            </w:tcBorders>
            <w:shd w:val="clear" w:color="auto" w:fill="auto"/>
            <w:noWrap/>
            <w:vAlign w:val="bottom"/>
            <w:hideMark/>
          </w:tcPr>
          <w:p w14:paraId="57FD5082"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29 018</w:t>
            </w:r>
          </w:p>
        </w:tc>
        <w:tc>
          <w:tcPr>
            <w:tcW w:w="1038" w:type="dxa"/>
            <w:tcBorders>
              <w:top w:val="nil"/>
              <w:left w:val="nil"/>
              <w:bottom w:val="single" w:sz="4" w:space="0" w:color="auto"/>
              <w:right w:val="single" w:sz="4" w:space="0" w:color="auto"/>
            </w:tcBorders>
            <w:shd w:val="clear" w:color="auto" w:fill="auto"/>
            <w:noWrap/>
            <w:vAlign w:val="bottom"/>
            <w:hideMark/>
          </w:tcPr>
          <w:p w14:paraId="2C067840"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145 569</w:t>
            </w:r>
          </w:p>
        </w:tc>
        <w:tc>
          <w:tcPr>
            <w:tcW w:w="1539" w:type="dxa"/>
            <w:tcBorders>
              <w:top w:val="nil"/>
              <w:left w:val="nil"/>
              <w:bottom w:val="single" w:sz="4" w:space="0" w:color="auto"/>
              <w:right w:val="single" w:sz="4" w:space="0" w:color="auto"/>
            </w:tcBorders>
            <w:shd w:val="clear" w:color="auto" w:fill="auto"/>
            <w:noWrap/>
            <w:vAlign w:val="bottom"/>
            <w:hideMark/>
          </w:tcPr>
          <w:p w14:paraId="0F3FEDBE"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254 604</w:t>
            </w:r>
          </w:p>
        </w:tc>
      </w:tr>
      <w:tr w:rsidR="00B6725B" w:rsidRPr="00B6725B" w14:paraId="58F9F307" w14:textId="77777777" w:rsidTr="00E1016B">
        <w:trPr>
          <w:trHeight w:val="300"/>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1695B0D8" w14:textId="77777777" w:rsidR="00B6725B" w:rsidRPr="00B6725B" w:rsidRDefault="00B6725B" w:rsidP="00B6725B">
            <w:pPr>
              <w:spacing w:after="0" w:line="240" w:lineRule="auto"/>
              <w:jc w:val="left"/>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 xml:space="preserve">Northern Cape </w:t>
            </w:r>
          </w:p>
        </w:tc>
        <w:tc>
          <w:tcPr>
            <w:tcW w:w="1154" w:type="dxa"/>
            <w:tcBorders>
              <w:top w:val="nil"/>
              <w:left w:val="nil"/>
              <w:bottom w:val="single" w:sz="4" w:space="0" w:color="auto"/>
              <w:right w:val="single" w:sz="4" w:space="0" w:color="auto"/>
            </w:tcBorders>
            <w:shd w:val="clear" w:color="auto" w:fill="auto"/>
            <w:noWrap/>
            <w:vAlign w:val="bottom"/>
            <w:hideMark/>
          </w:tcPr>
          <w:p w14:paraId="07AE070B"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14 000</w:t>
            </w:r>
          </w:p>
        </w:tc>
        <w:tc>
          <w:tcPr>
            <w:tcW w:w="1139" w:type="dxa"/>
            <w:tcBorders>
              <w:top w:val="nil"/>
              <w:left w:val="nil"/>
              <w:bottom w:val="single" w:sz="4" w:space="0" w:color="auto"/>
              <w:right w:val="single" w:sz="4" w:space="0" w:color="auto"/>
            </w:tcBorders>
            <w:shd w:val="clear" w:color="auto" w:fill="auto"/>
            <w:noWrap/>
            <w:vAlign w:val="bottom"/>
            <w:hideMark/>
          </w:tcPr>
          <w:p w14:paraId="3A50E9CB"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2 727</w:t>
            </w:r>
          </w:p>
        </w:tc>
        <w:tc>
          <w:tcPr>
            <w:tcW w:w="1139" w:type="dxa"/>
            <w:tcBorders>
              <w:top w:val="nil"/>
              <w:left w:val="nil"/>
              <w:bottom w:val="single" w:sz="4" w:space="0" w:color="auto"/>
              <w:right w:val="single" w:sz="4" w:space="0" w:color="auto"/>
            </w:tcBorders>
            <w:shd w:val="clear" w:color="auto" w:fill="auto"/>
            <w:noWrap/>
            <w:vAlign w:val="bottom"/>
            <w:hideMark/>
          </w:tcPr>
          <w:p w14:paraId="4D25DE72"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1 243</w:t>
            </w:r>
          </w:p>
        </w:tc>
        <w:tc>
          <w:tcPr>
            <w:tcW w:w="1139" w:type="dxa"/>
            <w:tcBorders>
              <w:top w:val="nil"/>
              <w:left w:val="nil"/>
              <w:bottom w:val="single" w:sz="4" w:space="0" w:color="auto"/>
              <w:right w:val="single" w:sz="4" w:space="0" w:color="auto"/>
            </w:tcBorders>
            <w:shd w:val="clear" w:color="auto" w:fill="auto"/>
            <w:noWrap/>
            <w:vAlign w:val="bottom"/>
            <w:hideMark/>
          </w:tcPr>
          <w:p w14:paraId="40D3A31D"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14 910</w:t>
            </w:r>
          </w:p>
        </w:tc>
        <w:tc>
          <w:tcPr>
            <w:tcW w:w="1038" w:type="dxa"/>
            <w:tcBorders>
              <w:top w:val="nil"/>
              <w:left w:val="nil"/>
              <w:bottom w:val="single" w:sz="4" w:space="0" w:color="auto"/>
              <w:right w:val="single" w:sz="4" w:space="0" w:color="auto"/>
            </w:tcBorders>
            <w:shd w:val="clear" w:color="auto" w:fill="auto"/>
            <w:noWrap/>
            <w:vAlign w:val="bottom"/>
            <w:hideMark/>
          </w:tcPr>
          <w:p w14:paraId="1225785D"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8 804</w:t>
            </w:r>
          </w:p>
        </w:tc>
        <w:tc>
          <w:tcPr>
            <w:tcW w:w="1038" w:type="dxa"/>
            <w:tcBorders>
              <w:top w:val="nil"/>
              <w:left w:val="nil"/>
              <w:bottom w:val="single" w:sz="4" w:space="0" w:color="auto"/>
              <w:right w:val="single" w:sz="4" w:space="0" w:color="auto"/>
            </w:tcBorders>
            <w:shd w:val="clear" w:color="auto" w:fill="auto"/>
            <w:noWrap/>
            <w:vAlign w:val="bottom"/>
            <w:hideMark/>
          </w:tcPr>
          <w:p w14:paraId="42873FAF"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14 125</w:t>
            </w:r>
          </w:p>
        </w:tc>
        <w:tc>
          <w:tcPr>
            <w:tcW w:w="1539" w:type="dxa"/>
            <w:tcBorders>
              <w:top w:val="nil"/>
              <w:left w:val="nil"/>
              <w:bottom w:val="single" w:sz="4" w:space="0" w:color="auto"/>
              <w:right w:val="single" w:sz="4" w:space="0" w:color="auto"/>
            </w:tcBorders>
            <w:shd w:val="clear" w:color="auto" w:fill="auto"/>
            <w:noWrap/>
            <w:vAlign w:val="bottom"/>
            <w:hideMark/>
          </w:tcPr>
          <w:p w14:paraId="59A2E361"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41 809</w:t>
            </w:r>
          </w:p>
        </w:tc>
      </w:tr>
      <w:tr w:rsidR="00B6725B" w:rsidRPr="00B6725B" w14:paraId="005EAAC2" w14:textId="77777777" w:rsidTr="00E1016B">
        <w:trPr>
          <w:trHeight w:val="300"/>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07ED37E0" w14:textId="77777777" w:rsidR="00B6725B" w:rsidRPr="00B6725B" w:rsidRDefault="00B6725B" w:rsidP="00B6725B">
            <w:pPr>
              <w:spacing w:after="0" w:line="240" w:lineRule="auto"/>
              <w:jc w:val="left"/>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 xml:space="preserve">North West </w:t>
            </w:r>
          </w:p>
        </w:tc>
        <w:tc>
          <w:tcPr>
            <w:tcW w:w="1154" w:type="dxa"/>
            <w:tcBorders>
              <w:top w:val="nil"/>
              <w:left w:val="nil"/>
              <w:bottom w:val="single" w:sz="4" w:space="0" w:color="auto"/>
              <w:right w:val="single" w:sz="4" w:space="0" w:color="auto"/>
            </w:tcBorders>
            <w:shd w:val="clear" w:color="auto" w:fill="auto"/>
            <w:noWrap/>
            <w:vAlign w:val="bottom"/>
            <w:hideMark/>
          </w:tcPr>
          <w:p w14:paraId="3285482B"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76 000</w:t>
            </w:r>
          </w:p>
        </w:tc>
        <w:tc>
          <w:tcPr>
            <w:tcW w:w="1139" w:type="dxa"/>
            <w:tcBorders>
              <w:top w:val="nil"/>
              <w:left w:val="nil"/>
              <w:bottom w:val="single" w:sz="4" w:space="0" w:color="auto"/>
              <w:right w:val="single" w:sz="4" w:space="0" w:color="auto"/>
            </w:tcBorders>
            <w:shd w:val="clear" w:color="auto" w:fill="auto"/>
            <w:noWrap/>
            <w:vAlign w:val="bottom"/>
            <w:hideMark/>
          </w:tcPr>
          <w:p w14:paraId="3E2E7183"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48 000</w:t>
            </w:r>
          </w:p>
        </w:tc>
        <w:tc>
          <w:tcPr>
            <w:tcW w:w="1139" w:type="dxa"/>
            <w:tcBorders>
              <w:top w:val="nil"/>
              <w:left w:val="nil"/>
              <w:bottom w:val="single" w:sz="4" w:space="0" w:color="auto"/>
              <w:right w:val="single" w:sz="4" w:space="0" w:color="auto"/>
            </w:tcBorders>
            <w:shd w:val="clear" w:color="auto" w:fill="auto"/>
            <w:noWrap/>
            <w:vAlign w:val="bottom"/>
            <w:hideMark/>
          </w:tcPr>
          <w:p w14:paraId="16C58AE8"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17 000</w:t>
            </w:r>
          </w:p>
        </w:tc>
        <w:tc>
          <w:tcPr>
            <w:tcW w:w="1139" w:type="dxa"/>
            <w:tcBorders>
              <w:top w:val="nil"/>
              <w:left w:val="nil"/>
              <w:bottom w:val="single" w:sz="4" w:space="0" w:color="auto"/>
              <w:right w:val="single" w:sz="4" w:space="0" w:color="auto"/>
            </w:tcBorders>
            <w:shd w:val="clear" w:color="auto" w:fill="auto"/>
            <w:noWrap/>
            <w:vAlign w:val="bottom"/>
            <w:hideMark/>
          </w:tcPr>
          <w:p w14:paraId="336E915E"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75 175</w:t>
            </w:r>
          </w:p>
        </w:tc>
        <w:tc>
          <w:tcPr>
            <w:tcW w:w="1038" w:type="dxa"/>
            <w:tcBorders>
              <w:top w:val="nil"/>
              <w:left w:val="nil"/>
              <w:bottom w:val="single" w:sz="4" w:space="0" w:color="auto"/>
              <w:right w:val="single" w:sz="4" w:space="0" w:color="auto"/>
            </w:tcBorders>
            <w:shd w:val="clear" w:color="auto" w:fill="auto"/>
            <w:noWrap/>
            <w:vAlign w:val="bottom"/>
            <w:hideMark/>
          </w:tcPr>
          <w:p w14:paraId="33CB87A2"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125 383</w:t>
            </w:r>
          </w:p>
        </w:tc>
        <w:tc>
          <w:tcPr>
            <w:tcW w:w="1038" w:type="dxa"/>
            <w:tcBorders>
              <w:top w:val="nil"/>
              <w:left w:val="nil"/>
              <w:bottom w:val="single" w:sz="4" w:space="0" w:color="auto"/>
              <w:right w:val="single" w:sz="4" w:space="0" w:color="auto"/>
            </w:tcBorders>
            <w:shd w:val="clear" w:color="auto" w:fill="auto"/>
            <w:noWrap/>
            <w:vAlign w:val="bottom"/>
            <w:hideMark/>
          </w:tcPr>
          <w:p w14:paraId="221F2C71"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285 532</w:t>
            </w:r>
          </w:p>
        </w:tc>
        <w:tc>
          <w:tcPr>
            <w:tcW w:w="1539" w:type="dxa"/>
            <w:tcBorders>
              <w:top w:val="nil"/>
              <w:left w:val="nil"/>
              <w:bottom w:val="single" w:sz="4" w:space="0" w:color="auto"/>
              <w:right w:val="single" w:sz="4" w:space="0" w:color="auto"/>
            </w:tcBorders>
            <w:shd w:val="clear" w:color="auto" w:fill="auto"/>
            <w:noWrap/>
            <w:vAlign w:val="bottom"/>
            <w:hideMark/>
          </w:tcPr>
          <w:p w14:paraId="20F8B5AE"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551 090</w:t>
            </w:r>
          </w:p>
        </w:tc>
      </w:tr>
      <w:tr w:rsidR="00B6725B" w:rsidRPr="00B6725B" w14:paraId="22C901C3" w14:textId="77777777" w:rsidTr="00E1016B">
        <w:trPr>
          <w:trHeight w:val="300"/>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4AC98016" w14:textId="77777777" w:rsidR="00B6725B" w:rsidRPr="00B6725B" w:rsidRDefault="00B6725B" w:rsidP="00B6725B">
            <w:pPr>
              <w:spacing w:after="0" w:line="240" w:lineRule="auto"/>
              <w:jc w:val="left"/>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 xml:space="preserve">Western Cape </w:t>
            </w:r>
          </w:p>
        </w:tc>
        <w:tc>
          <w:tcPr>
            <w:tcW w:w="1154" w:type="dxa"/>
            <w:tcBorders>
              <w:top w:val="nil"/>
              <w:left w:val="nil"/>
              <w:bottom w:val="single" w:sz="4" w:space="0" w:color="auto"/>
              <w:right w:val="single" w:sz="4" w:space="0" w:color="auto"/>
            </w:tcBorders>
            <w:shd w:val="clear" w:color="auto" w:fill="auto"/>
            <w:noWrap/>
            <w:vAlign w:val="bottom"/>
            <w:hideMark/>
          </w:tcPr>
          <w:p w14:paraId="2F439AE5"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73 500</w:t>
            </w:r>
          </w:p>
        </w:tc>
        <w:tc>
          <w:tcPr>
            <w:tcW w:w="1139" w:type="dxa"/>
            <w:tcBorders>
              <w:top w:val="nil"/>
              <w:left w:val="nil"/>
              <w:bottom w:val="single" w:sz="4" w:space="0" w:color="auto"/>
              <w:right w:val="single" w:sz="4" w:space="0" w:color="auto"/>
            </w:tcBorders>
            <w:shd w:val="clear" w:color="auto" w:fill="auto"/>
            <w:noWrap/>
            <w:vAlign w:val="bottom"/>
            <w:hideMark/>
          </w:tcPr>
          <w:p w14:paraId="4F9A0F51"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3 111</w:t>
            </w:r>
          </w:p>
        </w:tc>
        <w:tc>
          <w:tcPr>
            <w:tcW w:w="1139" w:type="dxa"/>
            <w:tcBorders>
              <w:top w:val="nil"/>
              <w:left w:val="nil"/>
              <w:bottom w:val="single" w:sz="4" w:space="0" w:color="auto"/>
              <w:right w:val="single" w:sz="4" w:space="0" w:color="auto"/>
            </w:tcBorders>
            <w:shd w:val="clear" w:color="auto" w:fill="auto"/>
            <w:noWrap/>
            <w:vAlign w:val="bottom"/>
            <w:hideMark/>
          </w:tcPr>
          <w:p w14:paraId="644A853E"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6 064</w:t>
            </w:r>
          </w:p>
        </w:tc>
        <w:tc>
          <w:tcPr>
            <w:tcW w:w="1139" w:type="dxa"/>
            <w:tcBorders>
              <w:top w:val="nil"/>
              <w:left w:val="nil"/>
              <w:bottom w:val="single" w:sz="4" w:space="0" w:color="auto"/>
              <w:right w:val="single" w:sz="4" w:space="0" w:color="auto"/>
            </w:tcBorders>
            <w:shd w:val="clear" w:color="auto" w:fill="auto"/>
            <w:noWrap/>
            <w:vAlign w:val="bottom"/>
            <w:hideMark/>
          </w:tcPr>
          <w:p w14:paraId="19E68E2B"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17 189</w:t>
            </w:r>
          </w:p>
        </w:tc>
        <w:tc>
          <w:tcPr>
            <w:tcW w:w="1038" w:type="dxa"/>
            <w:tcBorders>
              <w:top w:val="nil"/>
              <w:left w:val="nil"/>
              <w:bottom w:val="single" w:sz="4" w:space="0" w:color="auto"/>
              <w:right w:val="single" w:sz="4" w:space="0" w:color="auto"/>
            </w:tcBorders>
            <w:shd w:val="clear" w:color="auto" w:fill="auto"/>
            <w:noWrap/>
            <w:vAlign w:val="bottom"/>
            <w:hideMark/>
          </w:tcPr>
          <w:p w14:paraId="3CE8B7A7"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12 360</w:t>
            </w:r>
          </w:p>
        </w:tc>
        <w:tc>
          <w:tcPr>
            <w:tcW w:w="1038" w:type="dxa"/>
            <w:tcBorders>
              <w:top w:val="nil"/>
              <w:left w:val="nil"/>
              <w:bottom w:val="single" w:sz="4" w:space="0" w:color="auto"/>
              <w:right w:val="single" w:sz="4" w:space="0" w:color="auto"/>
            </w:tcBorders>
            <w:shd w:val="clear" w:color="auto" w:fill="auto"/>
            <w:noWrap/>
            <w:vAlign w:val="bottom"/>
            <w:hideMark/>
          </w:tcPr>
          <w:p w14:paraId="46DA45B4"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35 725</w:t>
            </w:r>
          </w:p>
        </w:tc>
        <w:tc>
          <w:tcPr>
            <w:tcW w:w="1539" w:type="dxa"/>
            <w:tcBorders>
              <w:top w:val="nil"/>
              <w:left w:val="nil"/>
              <w:bottom w:val="single" w:sz="4" w:space="0" w:color="auto"/>
              <w:right w:val="single" w:sz="4" w:space="0" w:color="auto"/>
            </w:tcBorders>
            <w:shd w:val="clear" w:color="auto" w:fill="auto"/>
            <w:noWrap/>
            <w:vAlign w:val="bottom"/>
            <w:hideMark/>
          </w:tcPr>
          <w:p w14:paraId="3EB0E188"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74 449</w:t>
            </w:r>
          </w:p>
        </w:tc>
      </w:tr>
      <w:tr w:rsidR="00B6725B" w:rsidRPr="00B6725B" w14:paraId="28A463D1" w14:textId="77777777" w:rsidTr="00E1016B">
        <w:trPr>
          <w:trHeight w:val="300"/>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14556A23" w14:textId="77777777" w:rsidR="00B6725B" w:rsidRPr="00B6725B" w:rsidRDefault="00B6725B" w:rsidP="00B6725B">
            <w:pPr>
              <w:spacing w:after="0" w:line="240" w:lineRule="auto"/>
              <w:jc w:val="left"/>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 xml:space="preserve">Not allocated </w:t>
            </w:r>
          </w:p>
        </w:tc>
        <w:tc>
          <w:tcPr>
            <w:tcW w:w="1154" w:type="dxa"/>
            <w:tcBorders>
              <w:top w:val="nil"/>
              <w:left w:val="nil"/>
              <w:bottom w:val="single" w:sz="4" w:space="0" w:color="auto"/>
              <w:right w:val="single" w:sz="4" w:space="0" w:color="auto"/>
            </w:tcBorders>
            <w:shd w:val="clear" w:color="auto" w:fill="auto"/>
            <w:noWrap/>
            <w:vAlign w:val="bottom"/>
            <w:hideMark/>
          </w:tcPr>
          <w:p w14:paraId="2BD58174"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r w:rsidRPr="00B6725B">
              <w:rPr>
                <w:rFonts w:ascii="Arial" w:eastAsia="Times New Roman" w:hAnsi="Arial" w:cs="Arial"/>
                <w:color w:val="000000"/>
                <w:sz w:val="20"/>
                <w:szCs w:val="20"/>
                <w:lang w:val="en-ZA" w:eastAsia="en-ZA"/>
              </w:rPr>
              <w:t>46 500</w:t>
            </w:r>
          </w:p>
        </w:tc>
        <w:tc>
          <w:tcPr>
            <w:tcW w:w="1139" w:type="dxa"/>
            <w:tcBorders>
              <w:top w:val="nil"/>
              <w:left w:val="nil"/>
              <w:bottom w:val="single" w:sz="4" w:space="0" w:color="auto"/>
              <w:right w:val="single" w:sz="4" w:space="0" w:color="auto"/>
            </w:tcBorders>
            <w:shd w:val="clear" w:color="auto" w:fill="auto"/>
            <w:noWrap/>
            <w:vAlign w:val="bottom"/>
            <w:hideMark/>
          </w:tcPr>
          <w:p w14:paraId="38D41695"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p>
        </w:tc>
        <w:tc>
          <w:tcPr>
            <w:tcW w:w="1139" w:type="dxa"/>
            <w:tcBorders>
              <w:top w:val="nil"/>
              <w:left w:val="nil"/>
              <w:bottom w:val="single" w:sz="4" w:space="0" w:color="auto"/>
              <w:right w:val="single" w:sz="4" w:space="0" w:color="auto"/>
            </w:tcBorders>
            <w:shd w:val="clear" w:color="auto" w:fill="auto"/>
            <w:noWrap/>
            <w:vAlign w:val="bottom"/>
            <w:hideMark/>
          </w:tcPr>
          <w:p w14:paraId="3B732AFF"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p>
        </w:tc>
        <w:tc>
          <w:tcPr>
            <w:tcW w:w="1139" w:type="dxa"/>
            <w:tcBorders>
              <w:top w:val="nil"/>
              <w:left w:val="nil"/>
              <w:bottom w:val="single" w:sz="4" w:space="0" w:color="auto"/>
              <w:right w:val="single" w:sz="4" w:space="0" w:color="auto"/>
            </w:tcBorders>
            <w:shd w:val="clear" w:color="auto" w:fill="auto"/>
            <w:noWrap/>
            <w:vAlign w:val="bottom"/>
            <w:hideMark/>
          </w:tcPr>
          <w:p w14:paraId="4C453C72"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p>
        </w:tc>
        <w:tc>
          <w:tcPr>
            <w:tcW w:w="1038" w:type="dxa"/>
            <w:tcBorders>
              <w:top w:val="nil"/>
              <w:left w:val="nil"/>
              <w:bottom w:val="single" w:sz="4" w:space="0" w:color="auto"/>
              <w:right w:val="single" w:sz="4" w:space="0" w:color="auto"/>
            </w:tcBorders>
            <w:shd w:val="clear" w:color="auto" w:fill="auto"/>
            <w:noWrap/>
            <w:vAlign w:val="bottom"/>
            <w:hideMark/>
          </w:tcPr>
          <w:p w14:paraId="172CCA04"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p>
        </w:tc>
        <w:tc>
          <w:tcPr>
            <w:tcW w:w="1038" w:type="dxa"/>
            <w:tcBorders>
              <w:top w:val="nil"/>
              <w:left w:val="nil"/>
              <w:bottom w:val="single" w:sz="4" w:space="0" w:color="auto"/>
              <w:right w:val="single" w:sz="4" w:space="0" w:color="auto"/>
            </w:tcBorders>
            <w:shd w:val="clear" w:color="auto" w:fill="auto"/>
            <w:noWrap/>
            <w:vAlign w:val="bottom"/>
            <w:hideMark/>
          </w:tcPr>
          <w:p w14:paraId="2C4EC4CF"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p>
        </w:tc>
        <w:tc>
          <w:tcPr>
            <w:tcW w:w="1539" w:type="dxa"/>
            <w:tcBorders>
              <w:top w:val="nil"/>
              <w:left w:val="nil"/>
              <w:bottom w:val="single" w:sz="4" w:space="0" w:color="auto"/>
              <w:right w:val="single" w:sz="4" w:space="0" w:color="auto"/>
            </w:tcBorders>
            <w:shd w:val="clear" w:color="auto" w:fill="auto"/>
            <w:noWrap/>
            <w:vAlign w:val="bottom"/>
            <w:hideMark/>
          </w:tcPr>
          <w:p w14:paraId="64E10C5E" w14:textId="77777777" w:rsidR="00B6725B" w:rsidRPr="00B6725B" w:rsidRDefault="00B6725B" w:rsidP="00E1016B">
            <w:pPr>
              <w:spacing w:after="0" w:line="240" w:lineRule="auto"/>
              <w:jc w:val="center"/>
              <w:rPr>
                <w:rFonts w:ascii="Arial" w:eastAsia="Times New Roman" w:hAnsi="Arial" w:cs="Arial"/>
                <w:color w:val="000000"/>
                <w:sz w:val="20"/>
                <w:szCs w:val="20"/>
                <w:lang w:val="en-ZA" w:eastAsia="en-ZA"/>
              </w:rPr>
            </w:pPr>
          </w:p>
        </w:tc>
      </w:tr>
      <w:tr w:rsidR="00B6725B" w:rsidRPr="00B6725B" w14:paraId="23631049" w14:textId="77777777" w:rsidTr="00E1016B">
        <w:trPr>
          <w:trHeight w:val="300"/>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45961175" w14:textId="77777777" w:rsidR="00B6725B" w:rsidRPr="00B6725B" w:rsidRDefault="00B6725B" w:rsidP="00B6725B">
            <w:pPr>
              <w:spacing w:after="0" w:line="240" w:lineRule="auto"/>
              <w:jc w:val="left"/>
              <w:rPr>
                <w:rFonts w:ascii="Arial" w:eastAsia="Times New Roman" w:hAnsi="Arial" w:cs="Arial"/>
                <w:b/>
                <w:bCs/>
                <w:color w:val="000000"/>
                <w:sz w:val="20"/>
                <w:szCs w:val="20"/>
                <w:lang w:val="en-ZA" w:eastAsia="en-ZA"/>
              </w:rPr>
            </w:pPr>
            <w:r w:rsidRPr="00B6725B">
              <w:rPr>
                <w:rFonts w:ascii="Arial" w:eastAsia="Times New Roman" w:hAnsi="Arial" w:cs="Arial"/>
                <w:b/>
                <w:bCs/>
                <w:color w:val="000000"/>
                <w:sz w:val="20"/>
                <w:szCs w:val="20"/>
                <w:lang w:val="en-ZA" w:eastAsia="en-ZA"/>
              </w:rPr>
              <w:t xml:space="preserve">Total </w:t>
            </w:r>
          </w:p>
        </w:tc>
        <w:tc>
          <w:tcPr>
            <w:tcW w:w="1154" w:type="dxa"/>
            <w:tcBorders>
              <w:top w:val="nil"/>
              <w:left w:val="nil"/>
              <w:bottom w:val="single" w:sz="4" w:space="0" w:color="auto"/>
              <w:right w:val="single" w:sz="4" w:space="0" w:color="auto"/>
            </w:tcBorders>
            <w:shd w:val="clear" w:color="auto" w:fill="auto"/>
            <w:noWrap/>
            <w:vAlign w:val="bottom"/>
            <w:hideMark/>
          </w:tcPr>
          <w:p w14:paraId="292888C0" w14:textId="77777777" w:rsidR="00B6725B" w:rsidRPr="00B6725B" w:rsidRDefault="00B6725B" w:rsidP="00E1016B">
            <w:pPr>
              <w:spacing w:after="0" w:line="240" w:lineRule="auto"/>
              <w:jc w:val="center"/>
              <w:rPr>
                <w:rFonts w:ascii="Arial" w:eastAsia="Times New Roman" w:hAnsi="Arial" w:cs="Arial"/>
                <w:b/>
                <w:bCs/>
                <w:color w:val="000000"/>
                <w:sz w:val="20"/>
                <w:szCs w:val="20"/>
                <w:lang w:val="en-ZA" w:eastAsia="en-ZA"/>
              </w:rPr>
            </w:pPr>
            <w:r w:rsidRPr="00B6725B">
              <w:rPr>
                <w:rFonts w:ascii="Arial" w:eastAsia="Times New Roman" w:hAnsi="Arial" w:cs="Arial"/>
                <w:b/>
                <w:bCs/>
                <w:color w:val="000000"/>
                <w:sz w:val="20"/>
                <w:szCs w:val="20"/>
                <w:lang w:val="en-ZA" w:eastAsia="en-ZA"/>
              </w:rPr>
              <w:t>1 400 000</w:t>
            </w:r>
          </w:p>
        </w:tc>
        <w:tc>
          <w:tcPr>
            <w:tcW w:w="1139" w:type="dxa"/>
            <w:tcBorders>
              <w:top w:val="nil"/>
              <w:left w:val="nil"/>
              <w:bottom w:val="single" w:sz="4" w:space="0" w:color="auto"/>
              <w:right w:val="single" w:sz="4" w:space="0" w:color="auto"/>
            </w:tcBorders>
            <w:shd w:val="clear" w:color="auto" w:fill="auto"/>
            <w:noWrap/>
            <w:vAlign w:val="bottom"/>
            <w:hideMark/>
          </w:tcPr>
          <w:p w14:paraId="13130006" w14:textId="77777777" w:rsidR="00B6725B" w:rsidRPr="00B6725B" w:rsidRDefault="00B6725B" w:rsidP="00E1016B">
            <w:pPr>
              <w:spacing w:after="0" w:line="240" w:lineRule="auto"/>
              <w:jc w:val="center"/>
              <w:rPr>
                <w:rFonts w:ascii="Arial" w:eastAsia="Times New Roman" w:hAnsi="Arial" w:cs="Arial"/>
                <w:b/>
                <w:bCs/>
                <w:color w:val="000000"/>
                <w:sz w:val="20"/>
                <w:szCs w:val="20"/>
                <w:lang w:val="en-ZA" w:eastAsia="en-ZA"/>
              </w:rPr>
            </w:pPr>
            <w:r w:rsidRPr="00B6725B">
              <w:rPr>
                <w:rFonts w:ascii="Arial" w:eastAsia="Times New Roman" w:hAnsi="Arial" w:cs="Arial"/>
                <w:b/>
                <w:bCs/>
                <w:color w:val="000000"/>
                <w:sz w:val="20"/>
                <w:szCs w:val="20"/>
                <w:lang w:val="en-ZA" w:eastAsia="en-ZA"/>
              </w:rPr>
              <w:t>136 390</w:t>
            </w:r>
          </w:p>
        </w:tc>
        <w:tc>
          <w:tcPr>
            <w:tcW w:w="1139" w:type="dxa"/>
            <w:tcBorders>
              <w:top w:val="nil"/>
              <w:left w:val="nil"/>
              <w:bottom w:val="single" w:sz="4" w:space="0" w:color="auto"/>
              <w:right w:val="single" w:sz="4" w:space="0" w:color="auto"/>
            </w:tcBorders>
            <w:shd w:val="clear" w:color="auto" w:fill="auto"/>
            <w:noWrap/>
            <w:vAlign w:val="bottom"/>
            <w:hideMark/>
          </w:tcPr>
          <w:p w14:paraId="5AF4AA97" w14:textId="77777777" w:rsidR="00B6725B" w:rsidRPr="00B6725B" w:rsidRDefault="00B6725B" w:rsidP="00E1016B">
            <w:pPr>
              <w:spacing w:after="0" w:line="240" w:lineRule="auto"/>
              <w:jc w:val="center"/>
              <w:rPr>
                <w:rFonts w:ascii="Arial" w:eastAsia="Times New Roman" w:hAnsi="Arial" w:cs="Arial"/>
                <w:b/>
                <w:bCs/>
                <w:color w:val="000000"/>
                <w:sz w:val="20"/>
                <w:szCs w:val="20"/>
                <w:lang w:val="en-ZA" w:eastAsia="en-ZA"/>
              </w:rPr>
            </w:pPr>
            <w:r w:rsidRPr="00B6725B">
              <w:rPr>
                <w:rFonts w:ascii="Arial" w:eastAsia="Times New Roman" w:hAnsi="Arial" w:cs="Arial"/>
                <w:b/>
                <w:bCs/>
                <w:color w:val="000000"/>
                <w:sz w:val="20"/>
                <w:szCs w:val="20"/>
                <w:lang w:val="en-ZA" w:eastAsia="en-ZA"/>
              </w:rPr>
              <w:t>165 165</w:t>
            </w:r>
          </w:p>
        </w:tc>
        <w:tc>
          <w:tcPr>
            <w:tcW w:w="1139" w:type="dxa"/>
            <w:tcBorders>
              <w:top w:val="nil"/>
              <w:left w:val="nil"/>
              <w:bottom w:val="single" w:sz="4" w:space="0" w:color="auto"/>
              <w:right w:val="single" w:sz="4" w:space="0" w:color="auto"/>
            </w:tcBorders>
            <w:shd w:val="clear" w:color="auto" w:fill="auto"/>
            <w:noWrap/>
            <w:vAlign w:val="bottom"/>
            <w:hideMark/>
          </w:tcPr>
          <w:p w14:paraId="77413679" w14:textId="77777777" w:rsidR="00B6725B" w:rsidRPr="00B6725B" w:rsidRDefault="00B6725B" w:rsidP="00E1016B">
            <w:pPr>
              <w:spacing w:after="0" w:line="240" w:lineRule="auto"/>
              <w:jc w:val="center"/>
              <w:rPr>
                <w:rFonts w:ascii="Arial" w:eastAsia="Times New Roman" w:hAnsi="Arial" w:cs="Arial"/>
                <w:b/>
                <w:bCs/>
                <w:color w:val="000000"/>
                <w:sz w:val="20"/>
                <w:szCs w:val="20"/>
                <w:lang w:val="en-ZA" w:eastAsia="en-ZA"/>
              </w:rPr>
            </w:pPr>
            <w:r w:rsidRPr="00B6725B">
              <w:rPr>
                <w:rFonts w:ascii="Arial" w:eastAsia="Times New Roman" w:hAnsi="Arial" w:cs="Arial"/>
                <w:b/>
                <w:bCs/>
                <w:color w:val="000000"/>
                <w:sz w:val="20"/>
                <w:szCs w:val="20"/>
                <w:lang w:val="en-ZA" w:eastAsia="en-ZA"/>
              </w:rPr>
              <w:t>476 323</w:t>
            </w:r>
          </w:p>
        </w:tc>
        <w:tc>
          <w:tcPr>
            <w:tcW w:w="1038" w:type="dxa"/>
            <w:tcBorders>
              <w:top w:val="nil"/>
              <w:left w:val="nil"/>
              <w:bottom w:val="single" w:sz="4" w:space="0" w:color="auto"/>
              <w:right w:val="single" w:sz="4" w:space="0" w:color="auto"/>
            </w:tcBorders>
            <w:shd w:val="clear" w:color="auto" w:fill="auto"/>
            <w:noWrap/>
            <w:vAlign w:val="bottom"/>
            <w:hideMark/>
          </w:tcPr>
          <w:p w14:paraId="1BD3B513" w14:textId="77777777" w:rsidR="00B6725B" w:rsidRPr="00B6725B" w:rsidRDefault="00B6725B" w:rsidP="00E1016B">
            <w:pPr>
              <w:spacing w:after="0" w:line="240" w:lineRule="auto"/>
              <w:jc w:val="center"/>
              <w:rPr>
                <w:rFonts w:ascii="Arial" w:eastAsia="Times New Roman" w:hAnsi="Arial" w:cs="Arial"/>
                <w:b/>
                <w:bCs/>
                <w:color w:val="000000"/>
                <w:sz w:val="20"/>
                <w:szCs w:val="20"/>
                <w:lang w:val="en-ZA" w:eastAsia="en-ZA"/>
              </w:rPr>
            </w:pPr>
            <w:r w:rsidRPr="00B6725B">
              <w:rPr>
                <w:rFonts w:ascii="Arial" w:eastAsia="Times New Roman" w:hAnsi="Arial" w:cs="Arial"/>
                <w:b/>
                <w:bCs/>
                <w:color w:val="000000"/>
                <w:sz w:val="20"/>
                <w:szCs w:val="20"/>
                <w:lang w:val="en-ZA" w:eastAsia="en-ZA"/>
              </w:rPr>
              <w:t>367 929</w:t>
            </w:r>
          </w:p>
        </w:tc>
        <w:tc>
          <w:tcPr>
            <w:tcW w:w="1038" w:type="dxa"/>
            <w:tcBorders>
              <w:top w:val="nil"/>
              <w:left w:val="nil"/>
              <w:bottom w:val="single" w:sz="4" w:space="0" w:color="auto"/>
              <w:right w:val="single" w:sz="4" w:space="0" w:color="auto"/>
            </w:tcBorders>
            <w:shd w:val="clear" w:color="auto" w:fill="auto"/>
            <w:noWrap/>
            <w:vAlign w:val="bottom"/>
            <w:hideMark/>
          </w:tcPr>
          <w:p w14:paraId="23D649C9" w14:textId="77777777" w:rsidR="00B6725B" w:rsidRPr="00B6725B" w:rsidRDefault="00B6725B" w:rsidP="00E1016B">
            <w:pPr>
              <w:spacing w:after="0" w:line="240" w:lineRule="auto"/>
              <w:jc w:val="center"/>
              <w:rPr>
                <w:rFonts w:ascii="Arial" w:eastAsia="Times New Roman" w:hAnsi="Arial" w:cs="Arial"/>
                <w:b/>
                <w:bCs/>
                <w:color w:val="000000"/>
                <w:sz w:val="20"/>
                <w:szCs w:val="20"/>
                <w:lang w:val="en-ZA" w:eastAsia="en-ZA"/>
              </w:rPr>
            </w:pPr>
            <w:r w:rsidRPr="00B6725B">
              <w:rPr>
                <w:rFonts w:ascii="Arial" w:eastAsia="Times New Roman" w:hAnsi="Arial" w:cs="Arial"/>
                <w:b/>
                <w:bCs/>
                <w:color w:val="000000"/>
                <w:sz w:val="20"/>
                <w:szCs w:val="20"/>
                <w:lang w:val="en-ZA" w:eastAsia="en-ZA"/>
              </w:rPr>
              <w:t>823 391</w:t>
            </w:r>
          </w:p>
        </w:tc>
        <w:tc>
          <w:tcPr>
            <w:tcW w:w="1539" w:type="dxa"/>
            <w:tcBorders>
              <w:top w:val="nil"/>
              <w:left w:val="nil"/>
              <w:bottom w:val="single" w:sz="4" w:space="0" w:color="auto"/>
              <w:right w:val="single" w:sz="4" w:space="0" w:color="auto"/>
            </w:tcBorders>
            <w:shd w:val="clear" w:color="auto" w:fill="auto"/>
            <w:noWrap/>
            <w:vAlign w:val="bottom"/>
            <w:hideMark/>
          </w:tcPr>
          <w:p w14:paraId="6ED95A1D" w14:textId="77777777" w:rsidR="00B6725B" w:rsidRPr="00B6725B" w:rsidRDefault="00B6725B" w:rsidP="00E1016B">
            <w:pPr>
              <w:spacing w:after="0" w:line="240" w:lineRule="auto"/>
              <w:jc w:val="center"/>
              <w:rPr>
                <w:rFonts w:ascii="Arial" w:eastAsia="Times New Roman" w:hAnsi="Arial" w:cs="Arial"/>
                <w:b/>
                <w:bCs/>
                <w:color w:val="000000"/>
                <w:sz w:val="20"/>
                <w:szCs w:val="20"/>
                <w:lang w:val="en-ZA" w:eastAsia="en-ZA"/>
              </w:rPr>
            </w:pPr>
            <w:r w:rsidRPr="00B6725B">
              <w:rPr>
                <w:rFonts w:ascii="Arial" w:eastAsia="Times New Roman" w:hAnsi="Arial" w:cs="Arial"/>
                <w:b/>
                <w:bCs/>
                <w:color w:val="000000"/>
                <w:sz w:val="20"/>
                <w:szCs w:val="20"/>
                <w:lang w:val="en-ZA" w:eastAsia="en-ZA"/>
              </w:rPr>
              <w:t>1 969 198</w:t>
            </w:r>
          </w:p>
        </w:tc>
      </w:tr>
    </w:tbl>
    <w:p w14:paraId="2A747CD7" w14:textId="77777777" w:rsidR="00B6725B" w:rsidRDefault="00B6725B" w:rsidP="006C3B65">
      <w:pPr>
        <w:rPr>
          <w:rFonts w:ascii="Arial" w:hAnsi="Arial" w:cs="Arial"/>
          <w:b/>
        </w:rPr>
      </w:pPr>
    </w:p>
    <w:p w14:paraId="51E6000C" w14:textId="77777777" w:rsidR="002965EC" w:rsidRPr="002965EC" w:rsidRDefault="002965EC" w:rsidP="006C3B65">
      <w:pPr>
        <w:rPr>
          <w:rFonts w:ascii="Arial" w:hAnsi="Arial" w:cs="Arial"/>
          <w:b/>
        </w:rPr>
      </w:pPr>
    </w:p>
    <w:p w14:paraId="7F9CB22F" w14:textId="77777777" w:rsidR="008639EC" w:rsidRPr="002965EC" w:rsidRDefault="008639EC" w:rsidP="00827862">
      <w:pPr>
        <w:pStyle w:val="Heading2"/>
        <w:rPr>
          <w:rFonts w:ascii="Arial" w:hAnsi="Arial" w:cs="Arial"/>
        </w:rPr>
      </w:pPr>
      <w:bookmarkStart w:id="25" w:name="_Toc2094128"/>
      <w:r w:rsidRPr="002965EC">
        <w:rPr>
          <w:rFonts w:ascii="Arial" w:hAnsi="Arial" w:cs="Arial"/>
        </w:rPr>
        <w:lastRenderedPageBreak/>
        <w:t>Access to public services for gender equality and the empowerment of women and girls</w:t>
      </w:r>
    </w:p>
    <w:bookmarkEnd w:id="25"/>
    <w:p w14:paraId="396CAF82" w14:textId="77777777" w:rsidR="00DD367A" w:rsidRPr="002965EC" w:rsidRDefault="00DD367A" w:rsidP="0077736A">
      <w:pPr>
        <w:rPr>
          <w:rFonts w:ascii="Arial" w:hAnsi="Arial" w:cs="Arial"/>
          <w:b/>
        </w:rPr>
      </w:pPr>
    </w:p>
    <w:p w14:paraId="1995E093" w14:textId="77777777" w:rsidR="00DD367A" w:rsidRPr="002965EC" w:rsidRDefault="00DD367A" w:rsidP="0077736A">
      <w:pPr>
        <w:rPr>
          <w:rFonts w:ascii="Arial" w:hAnsi="Arial" w:cs="Arial"/>
        </w:rPr>
      </w:pPr>
      <w:r w:rsidRPr="002965EC">
        <w:rPr>
          <w:rFonts w:ascii="Arial" w:hAnsi="Arial" w:cs="Arial"/>
        </w:rPr>
        <w:t xml:space="preserve">Progress has been made in the access of women and girls to public services, in particular health and education. </w:t>
      </w:r>
      <w:r w:rsidRPr="002965EC">
        <w:rPr>
          <w:rFonts w:ascii="Arial" w:hAnsi="Arial" w:cs="Arial"/>
          <w:szCs w:val="24"/>
        </w:rPr>
        <w:t xml:space="preserve">Cash transfers have been associated with progress in increasing school attendance and health service use and a reduction in child labour.   </w:t>
      </w:r>
      <w:r w:rsidRPr="002965EC">
        <w:rPr>
          <w:rFonts w:ascii="Arial" w:hAnsi="Arial" w:cs="Arial"/>
        </w:rPr>
        <w:t xml:space="preserve">Social protection systems have also been redesigned to reduce gender bias. </w:t>
      </w:r>
    </w:p>
    <w:p w14:paraId="25D532C8" w14:textId="77777777" w:rsidR="009722BC" w:rsidRPr="002965EC" w:rsidRDefault="009722BC" w:rsidP="0077736A">
      <w:pPr>
        <w:rPr>
          <w:rFonts w:ascii="Arial" w:hAnsi="Arial" w:cs="Arial"/>
          <w:b/>
        </w:rPr>
      </w:pPr>
    </w:p>
    <w:p w14:paraId="7F09F227" w14:textId="77777777" w:rsidR="002D461B" w:rsidRPr="002965EC" w:rsidRDefault="002D461B" w:rsidP="0077736A">
      <w:pPr>
        <w:rPr>
          <w:rFonts w:ascii="Arial" w:hAnsi="Arial" w:cs="Arial"/>
          <w:b/>
        </w:rPr>
      </w:pPr>
      <w:r w:rsidRPr="002965EC">
        <w:rPr>
          <w:rFonts w:ascii="Arial" w:hAnsi="Arial" w:cs="Arial"/>
          <w:b/>
        </w:rPr>
        <w:t>Health</w:t>
      </w:r>
    </w:p>
    <w:p w14:paraId="3B9BB7A8" w14:textId="77777777" w:rsidR="00B44DE9" w:rsidRPr="002965EC" w:rsidRDefault="00677CC0" w:rsidP="00827862">
      <w:pPr>
        <w:autoSpaceDE w:val="0"/>
        <w:autoSpaceDN w:val="0"/>
        <w:adjustRightInd w:val="0"/>
        <w:spacing w:before="100" w:beforeAutospacing="1" w:after="100" w:afterAutospacing="1"/>
        <w:rPr>
          <w:rFonts w:ascii="Arial" w:hAnsi="Arial" w:cs="Arial"/>
          <w:bCs/>
          <w:szCs w:val="24"/>
        </w:rPr>
      </w:pPr>
      <w:r w:rsidRPr="002965EC">
        <w:rPr>
          <w:rFonts w:ascii="Arial" w:hAnsi="Arial" w:cs="Arial"/>
          <w:bCs/>
          <w:szCs w:val="24"/>
        </w:rPr>
        <w:t xml:space="preserve">Expanded access to HIV treatment has led to more people living longer as seen in the mortality decline and improvements in life expectancy. For example, </w:t>
      </w:r>
      <w:r w:rsidRPr="002965EC">
        <w:rPr>
          <w:rFonts w:ascii="Arial" w:hAnsi="Arial" w:cs="Arial"/>
        </w:rPr>
        <w:t>t</w:t>
      </w:r>
      <w:r w:rsidR="00B44DE9" w:rsidRPr="002965EC">
        <w:rPr>
          <w:rFonts w:ascii="Arial" w:hAnsi="Arial" w:cs="Arial"/>
        </w:rPr>
        <w:t xml:space="preserve">he life expectancy (LE) of South Africans has continued to increase from 2005 to 2016 as shown in the table below. </w:t>
      </w:r>
      <w:r w:rsidR="00800B84" w:rsidRPr="002965EC">
        <w:rPr>
          <w:rFonts w:ascii="Arial" w:hAnsi="Arial" w:cs="Arial"/>
          <w:bCs/>
          <w:szCs w:val="24"/>
        </w:rPr>
        <w:t>Life expectancy rose by a remarkable 10.3 years in the last decade (2005–2016) in line with the rapid roll out of antiretroviral therapy (</w:t>
      </w:r>
      <w:r w:rsidR="00800B84" w:rsidRPr="002965EC">
        <w:rPr>
          <w:rFonts w:ascii="Arial" w:hAnsi="Arial" w:cs="Arial"/>
          <w:szCs w:val="24"/>
        </w:rPr>
        <w:t>Stats SA, 2016a</w:t>
      </w:r>
      <w:r w:rsidR="00800B84" w:rsidRPr="002965EC">
        <w:rPr>
          <w:rFonts w:ascii="Arial" w:hAnsi="Arial" w:cs="Arial"/>
          <w:bCs/>
          <w:szCs w:val="24"/>
        </w:rPr>
        <w:t xml:space="preserve">). </w:t>
      </w:r>
      <w:r w:rsidR="00B44DE9" w:rsidRPr="002965EC">
        <w:rPr>
          <w:rFonts w:ascii="Arial" w:hAnsi="Arial" w:cs="Arial"/>
        </w:rPr>
        <w:t>Female life expectancy increased from 54.8 in 2005 to 65.1 in 2016. Male life expectancy increased from 52.8 in 2005 to 59.7 in 2016. (StatsSA). The Rapid Mortality Surveillance Report (RMS) of the SA Medial Research Council (MRC)</w:t>
      </w:r>
      <w:r w:rsidR="00B44DE9" w:rsidRPr="002965EC">
        <w:rPr>
          <w:rStyle w:val="FootnoteReference"/>
          <w:rFonts w:ascii="Arial" w:hAnsi="Arial" w:cs="Arial"/>
        </w:rPr>
        <w:footnoteReference w:id="9"/>
      </w:r>
      <w:r w:rsidR="00B44DE9" w:rsidRPr="002965EC">
        <w:rPr>
          <w:rFonts w:ascii="Arial" w:hAnsi="Arial" w:cs="Arial"/>
        </w:rPr>
        <w:t xml:space="preserve"> established in 2009 reflects an increase in LE for females from 59.7 in 2009 to 66.4 in 2015 whilst the LE for males in 2009 was 54.6 and 60.3 in 2015 for males. Life expectancy has shown rapid progress between 2010 and 2011.  </w:t>
      </w:r>
    </w:p>
    <w:p w14:paraId="5FE17AAD" w14:textId="77777777" w:rsidR="00B44DE9" w:rsidRPr="002965EC" w:rsidRDefault="00B44DE9" w:rsidP="00B44DE9">
      <w:pPr>
        <w:rPr>
          <w:rFonts w:ascii="Arial" w:hAnsi="Arial" w:cs="Arial"/>
          <w:i/>
        </w:rPr>
      </w:pPr>
      <w:r w:rsidRPr="002965EC">
        <w:rPr>
          <w:rFonts w:ascii="Arial" w:hAnsi="Arial" w:cs="Arial"/>
          <w:noProof/>
          <w:lang w:val="en-ZA" w:eastAsia="en-ZA"/>
        </w:rPr>
        <w:lastRenderedPageBreak/>
        <w:drawing>
          <wp:inline distT="0" distB="0" distL="0" distR="0" wp14:anchorId="671D7C9D" wp14:editId="714270C5">
            <wp:extent cx="4886325" cy="2933700"/>
            <wp:effectExtent l="0" t="0" r="9525" b="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82C2619" w14:textId="77777777" w:rsidR="00B44DE9" w:rsidRPr="002965EC" w:rsidRDefault="00B44DE9" w:rsidP="00B44DE9">
      <w:pPr>
        <w:rPr>
          <w:rFonts w:ascii="Arial" w:hAnsi="Arial" w:cs="Arial"/>
          <w:i/>
        </w:rPr>
      </w:pPr>
    </w:p>
    <w:p w14:paraId="2539E97E" w14:textId="7E4E26A7" w:rsidR="00B44DE9" w:rsidRPr="002965EC" w:rsidRDefault="00B44DE9" w:rsidP="00B44DE9">
      <w:pPr>
        <w:rPr>
          <w:rFonts w:ascii="Arial" w:hAnsi="Arial" w:cs="Arial"/>
        </w:rPr>
      </w:pPr>
      <w:r w:rsidRPr="002965EC">
        <w:rPr>
          <w:rFonts w:ascii="Arial" w:hAnsi="Arial" w:cs="Arial"/>
        </w:rPr>
        <w:t>The infant mortality rate in South Africa has declined over the years and by 2017 it is the lowest it has ever been in the history of the country. In 1974 (Apartheid era) the</w:t>
      </w:r>
      <w:r w:rsidR="002C59ED" w:rsidRPr="002965EC">
        <w:rPr>
          <w:rFonts w:ascii="Arial" w:hAnsi="Arial" w:cs="Arial"/>
        </w:rPr>
        <w:t xml:space="preserve"> infant mortality rate was 90.7</w:t>
      </w:r>
      <w:r w:rsidR="006B5850" w:rsidRPr="002965EC">
        <w:rPr>
          <w:rFonts w:ascii="Arial" w:hAnsi="Arial" w:cs="Arial"/>
        </w:rPr>
        <w:t>/1000</w:t>
      </w:r>
      <w:r w:rsidRPr="002965EC">
        <w:rPr>
          <w:rFonts w:ascii="Arial" w:hAnsi="Arial" w:cs="Arial"/>
        </w:rPr>
        <w:t>, decreasing to 28.8</w:t>
      </w:r>
      <w:r w:rsidR="006B5850" w:rsidRPr="002965EC">
        <w:rPr>
          <w:rFonts w:ascii="Arial" w:hAnsi="Arial" w:cs="Arial"/>
        </w:rPr>
        <w:t>/1000</w:t>
      </w:r>
      <w:r w:rsidRPr="002965EC">
        <w:rPr>
          <w:rFonts w:ascii="Arial" w:hAnsi="Arial" w:cs="Arial"/>
        </w:rPr>
        <w:t xml:space="preserve"> in 2017.  The female infant mortality rate decreased from 41.7</w:t>
      </w:r>
      <w:r w:rsidR="006B5850" w:rsidRPr="002965EC">
        <w:rPr>
          <w:rFonts w:ascii="Arial" w:hAnsi="Arial" w:cs="Arial"/>
        </w:rPr>
        <w:t>/1000</w:t>
      </w:r>
      <w:r w:rsidRPr="002965EC">
        <w:rPr>
          <w:rFonts w:ascii="Arial" w:hAnsi="Arial" w:cs="Arial"/>
        </w:rPr>
        <w:t xml:space="preserve"> in 1990 to 25.3</w:t>
      </w:r>
      <w:r w:rsidR="006B5850" w:rsidRPr="002965EC">
        <w:rPr>
          <w:rFonts w:ascii="Arial" w:hAnsi="Arial" w:cs="Arial"/>
        </w:rPr>
        <w:t>/1000</w:t>
      </w:r>
      <w:r w:rsidRPr="002965EC">
        <w:rPr>
          <w:rFonts w:ascii="Arial" w:hAnsi="Arial" w:cs="Arial"/>
        </w:rPr>
        <w:t xml:space="preserve"> in 2017. The male infant mortality rate decreased from 51.9</w:t>
      </w:r>
      <w:r w:rsidR="006B5850" w:rsidRPr="002965EC">
        <w:rPr>
          <w:rFonts w:ascii="Arial" w:hAnsi="Arial" w:cs="Arial"/>
        </w:rPr>
        <w:t>/1000</w:t>
      </w:r>
      <w:r w:rsidRPr="002965EC">
        <w:rPr>
          <w:rFonts w:ascii="Arial" w:hAnsi="Arial" w:cs="Arial"/>
        </w:rPr>
        <w:t xml:space="preserve"> in 1990 to 32</w:t>
      </w:r>
      <w:r w:rsidR="006B5850" w:rsidRPr="002965EC">
        <w:rPr>
          <w:rFonts w:ascii="Arial" w:hAnsi="Arial" w:cs="Arial"/>
        </w:rPr>
        <w:t>/1000</w:t>
      </w:r>
      <w:r w:rsidRPr="002965EC">
        <w:rPr>
          <w:rFonts w:ascii="Arial" w:hAnsi="Arial" w:cs="Arial"/>
        </w:rPr>
        <w:t xml:space="preserve"> in 2017.  </w:t>
      </w:r>
      <w:proofErr w:type="gramStart"/>
      <w:r w:rsidRPr="002965EC">
        <w:rPr>
          <w:rFonts w:ascii="Arial" w:hAnsi="Arial" w:cs="Arial"/>
        </w:rPr>
        <w:t>(World Bank)</w:t>
      </w:r>
      <w:r w:rsidRPr="002965EC">
        <w:rPr>
          <w:rStyle w:val="FootnoteReference"/>
          <w:rFonts w:ascii="Arial" w:hAnsi="Arial" w:cs="Arial"/>
        </w:rPr>
        <w:footnoteReference w:id="10"/>
      </w:r>
      <w:r w:rsidR="00AC1543">
        <w:rPr>
          <w:rFonts w:ascii="Arial" w:hAnsi="Arial" w:cs="Arial"/>
        </w:rPr>
        <w:t>.</w:t>
      </w:r>
      <w:proofErr w:type="gram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26"/>
      </w:tblGrid>
      <w:tr w:rsidR="00B44DE9" w:rsidRPr="002965EC" w14:paraId="492A144E" w14:textId="77777777" w:rsidTr="009C38AB">
        <w:tc>
          <w:tcPr>
            <w:tcW w:w="4490" w:type="dxa"/>
          </w:tcPr>
          <w:p w14:paraId="39BF4B56" w14:textId="77777777" w:rsidR="00B44DE9" w:rsidRPr="002965EC" w:rsidRDefault="00B44DE9" w:rsidP="009C38AB">
            <w:pPr>
              <w:rPr>
                <w:rFonts w:ascii="Arial" w:hAnsi="Arial" w:cs="Arial"/>
                <w:b/>
              </w:rPr>
            </w:pPr>
            <w:r w:rsidRPr="002965EC">
              <w:rPr>
                <w:rFonts w:ascii="Arial" w:hAnsi="Arial" w:cs="Arial"/>
                <w:noProof/>
                <w:sz w:val="20"/>
                <w:szCs w:val="20"/>
                <w:lang w:eastAsia="en-ZA"/>
              </w:rPr>
              <w:drawing>
                <wp:inline distT="0" distB="0" distL="0" distR="0" wp14:anchorId="1CED1853" wp14:editId="4ECAEB36">
                  <wp:extent cx="2800350" cy="2219325"/>
                  <wp:effectExtent l="0" t="0" r="0" b="9525"/>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491" w:type="dxa"/>
          </w:tcPr>
          <w:p w14:paraId="7AB9E8EF" w14:textId="77777777" w:rsidR="00B44DE9" w:rsidRPr="002965EC" w:rsidRDefault="00B44DE9" w:rsidP="009C38AB">
            <w:pPr>
              <w:rPr>
                <w:rFonts w:ascii="Arial" w:hAnsi="Arial" w:cs="Arial"/>
                <w:b/>
              </w:rPr>
            </w:pPr>
            <w:r w:rsidRPr="002965EC">
              <w:rPr>
                <w:rFonts w:ascii="Arial" w:hAnsi="Arial" w:cs="Arial"/>
                <w:noProof/>
                <w:lang w:eastAsia="en-ZA"/>
              </w:rPr>
              <w:drawing>
                <wp:inline distT="0" distB="0" distL="0" distR="0" wp14:anchorId="59AE6642" wp14:editId="1295E48C">
                  <wp:extent cx="2790825" cy="2219325"/>
                  <wp:effectExtent l="0" t="0" r="9525" b="9525"/>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08414F43" w14:textId="6B3944B4" w:rsidR="00B44DE9" w:rsidRPr="002965EC" w:rsidRDefault="00B44DE9" w:rsidP="00B44DE9">
      <w:pPr>
        <w:pStyle w:val="Caption"/>
        <w:keepNext/>
        <w:rPr>
          <w:rFonts w:ascii="Arial" w:hAnsi="Arial" w:cs="Arial"/>
        </w:rPr>
      </w:pPr>
      <w:bookmarkStart w:id="26" w:name="_Toc1488706"/>
      <w:r w:rsidRPr="002965EC">
        <w:rPr>
          <w:rFonts w:ascii="Arial" w:hAnsi="Arial" w:cs="Arial"/>
        </w:rPr>
        <w:lastRenderedPageBreak/>
        <w:t>HIV prevalence by selected age groups, 2002 -2017</w:t>
      </w:r>
      <w:bookmarkEnd w:id="26"/>
    </w:p>
    <w:p w14:paraId="4C8A741D" w14:textId="77777777" w:rsidR="00B44DE9" w:rsidRPr="002965EC" w:rsidRDefault="00B44DE9" w:rsidP="00B44DE9">
      <w:pPr>
        <w:tabs>
          <w:tab w:val="left" w:pos="426"/>
        </w:tabs>
        <w:spacing w:after="0"/>
        <w:ind w:right="-193"/>
        <w:rPr>
          <w:rFonts w:ascii="Arial" w:hAnsi="Arial" w:cs="Arial"/>
        </w:rPr>
      </w:pPr>
      <w:r w:rsidRPr="002965EC">
        <w:rPr>
          <w:rFonts w:ascii="Arial" w:hAnsi="Arial" w:cs="Arial"/>
          <w:noProof/>
          <w:lang w:val="en-ZA" w:eastAsia="en-ZA"/>
        </w:rPr>
        <w:drawing>
          <wp:inline distT="0" distB="0" distL="0" distR="0" wp14:anchorId="1B6D77EC" wp14:editId="519E60E4">
            <wp:extent cx="5972175" cy="2714625"/>
            <wp:effectExtent l="0" t="0" r="9525" b="9525"/>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954DE7" w14:textId="77777777" w:rsidR="00B44DE9" w:rsidRPr="002965EC" w:rsidRDefault="00B44DE9" w:rsidP="00B44DE9">
      <w:pPr>
        <w:tabs>
          <w:tab w:val="left" w:pos="426"/>
        </w:tabs>
        <w:spacing w:after="0"/>
        <w:ind w:right="-193"/>
        <w:rPr>
          <w:rFonts w:ascii="Arial" w:eastAsia="Times New Roman" w:hAnsi="Arial" w:cs="Arial"/>
          <w:bCs/>
          <w:sz w:val="20"/>
          <w:szCs w:val="20"/>
        </w:rPr>
      </w:pPr>
      <w:r w:rsidRPr="002965EC">
        <w:rPr>
          <w:rFonts w:ascii="Arial" w:eastAsia="Times New Roman" w:hAnsi="Arial" w:cs="Arial"/>
          <w:bCs/>
          <w:sz w:val="20"/>
          <w:szCs w:val="20"/>
        </w:rPr>
        <w:t>Source: Statistics South Africa.</w:t>
      </w:r>
    </w:p>
    <w:p w14:paraId="58DAA129" w14:textId="77777777" w:rsidR="00B44DE9" w:rsidRPr="002965EC" w:rsidRDefault="00B44DE9" w:rsidP="00B44DE9">
      <w:pPr>
        <w:tabs>
          <w:tab w:val="left" w:pos="426"/>
        </w:tabs>
        <w:spacing w:after="0"/>
        <w:ind w:right="-193"/>
        <w:rPr>
          <w:rFonts w:ascii="Arial" w:eastAsia="Times New Roman" w:hAnsi="Arial" w:cs="Arial"/>
          <w:bCs/>
          <w:sz w:val="20"/>
          <w:szCs w:val="20"/>
        </w:rPr>
      </w:pPr>
    </w:p>
    <w:p w14:paraId="566580AE" w14:textId="77777777" w:rsidR="00B44DE9" w:rsidRPr="002965EC" w:rsidRDefault="00B44DE9" w:rsidP="00B44DE9">
      <w:pPr>
        <w:rPr>
          <w:rFonts w:ascii="Arial" w:hAnsi="Arial" w:cs="Arial"/>
          <w:b/>
          <w:i/>
        </w:rPr>
      </w:pPr>
      <w:r w:rsidRPr="002965EC">
        <w:rPr>
          <w:rFonts w:ascii="Arial" w:hAnsi="Arial" w:cs="Arial"/>
          <w:b/>
          <w:i/>
        </w:rPr>
        <w:t>Universal health coverage also requires attention to non-financial barriers that constrain access.</w:t>
      </w:r>
    </w:p>
    <w:p w14:paraId="0F066470" w14:textId="77777777" w:rsidR="005B1C2B" w:rsidRPr="002965EC" w:rsidRDefault="005B1C2B" w:rsidP="005B1C2B">
      <w:pPr>
        <w:rPr>
          <w:rFonts w:ascii="Arial" w:hAnsi="Arial" w:cs="Arial"/>
        </w:rPr>
      </w:pPr>
      <w:r w:rsidRPr="002965EC">
        <w:rPr>
          <w:rFonts w:ascii="Arial" w:hAnsi="Arial" w:cs="Arial"/>
        </w:rPr>
        <w:t xml:space="preserve">The right to accessible health care, bodily and psychological integrity; reproductive health care as well as the right to make decisions concerning reproduction (reproductive self-determination) are entrenched in section 12 (especially s 12(2) and 27(1)(b)) of the Constitution. Since 1994 the State has put in place several measures to ensure the </w:t>
      </w:r>
      <w:proofErr w:type="spellStart"/>
      <w:r w:rsidRPr="002965EC">
        <w:rPr>
          <w:rFonts w:ascii="Arial" w:hAnsi="Arial" w:cs="Arial"/>
        </w:rPr>
        <w:t>realisation</w:t>
      </w:r>
      <w:proofErr w:type="spellEnd"/>
      <w:r w:rsidRPr="002965EC">
        <w:rPr>
          <w:rFonts w:ascii="Arial" w:hAnsi="Arial" w:cs="Arial"/>
        </w:rPr>
        <w:t xml:space="preserve"> of health care rights. In CEDAW, Articles 12(1), 12(2), 14(2)(b), 6, 10(f), 11(1)(f) and 11(2)(d) pronounces on health issues related to women, and especially to rural based women. The Cairo Declaration and International Convention of Population Development (ICPD) </w:t>
      </w:r>
      <w:r w:rsidR="00B92A26" w:rsidRPr="002965EC">
        <w:rPr>
          <w:rFonts w:ascii="Arial" w:hAnsi="Arial" w:cs="Arial"/>
        </w:rPr>
        <w:t>state</w:t>
      </w:r>
      <w:r w:rsidRPr="002965EC">
        <w:rPr>
          <w:rFonts w:ascii="Arial" w:hAnsi="Arial" w:cs="Arial"/>
        </w:rPr>
        <w:t xml:space="preserve"> that women have the right to make decisions concerning reproduction free from coercion and discrimination. . It has published the policy document, National health insurance for South Africa: towards universal health coverage, which lays the foundation for moving South Africa towards universal health coverage (UHC) through the implementation of National Health Insurance (NHI) and establishment of a unified health system</w:t>
      </w:r>
    </w:p>
    <w:p w14:paraId="0347CC45" w14:textId="77777777" w:rsidR="005B1C2B" w:rsidRPr="002965EC" w:rsidRDefault="005B1C2B" w:rsidP="005B1C2B">
      <w:pPr>
        <w:rPr>
          <w:rFonts w:ascii="Arial" w:hAnsi="Arial" w:cs="Arial"/>
        </w:rPr>
      </w:pPr>
      <w:r w:rsidRPr="002965EC">
        <w:rPr>
          <w:rFonts w:ascii="Arial" w:hAnsi="Arial" w:cs="Arial"/>
        </w:rPr>
        <w:t xml:space="preserve">Reproductive rights include an assortment of different rights and issues related to the right to security, dignity, physical autonomy, reproductive technology and trial testing; HIV and AIDs, sex education and access to health care and health care facilities. </w:t>
      </w:r>
    </w:p>
    <w:p w14:paraId="747433A7" w14:textId="77777777" w:rsidR="005C4A0E" w:rsidRPr="002965EC" w:rsidRDefault="005B1C2B" w:rsidP="000F39B8">
      <w:pPr>
        <w:rPr>
          <w:rFonts w:ascii="Arial" w:hAnsi="Arial" w:cs="Arial"/>
          <w:b/>
          <w:i/>
        </w:rPr>
      </w:pPr>
      <w:r w:rsidRPr="002965EC">
        <w:rPr>
          <w:rFonts w:ascii="Arial" w:hAnsi="Arial" w:cs="Arial"/>
        </w:rPr>
        <w:t xml:space="preserve">Over the past 25 years there has been progressive changes as well to the access to in vitro </w:t>
      </w:r>
      <w:proofErr w:type="spellStart"/>
      <w:r w:rsidRPr="002965EC">
        <w:rPr>
          <w:rFonts w:ascii="Arial" w:hAnsi="Arial" w:cs="Arial"/>
        </w:rPr>
        <w:t>fertilisation</w:t>
      </w:r>
      <w:proofErr w:type="spellEnd"/>
      <w:r w:rsidRPr="002965EC">
        <w:rPr>
          <w:rFonts w:ascii="Arial" w:hAnsi="Arial" w:cs="Arial"/>
        </w:rPr>
        <w:t xml:space="preserve"> treatments to include single women and lesbian couples and where married women could previously only access this service with the consent of their </w:t>
      </w:r>
      <w:r w:rsidRPr="002965EC">
        <w:rPr>
          <w:rFonts w:ascii="Arial" w:hAnsi="Arial" w:cs="Arial"/>
        </w:rPr>
        <w:lastRenderedPageBreak/>
        <w:t>husbands, since 1996 it is possible for married women to do so without acquiring the consent of their husbands.</w:t>
      </w:r>
    </w:p>
    <w:p w14:paraId="28EE7D8A" w14:textId="77777777" w:rsidR="000F39B8" w:rsidRPr="002965EC" w:rsidRDefault="000F39B8" w:rsidP="000F39B8">
      <w:pPr>
        <w:rPr>
          <w:rFonts w:ascii="Arial" w:eastAsia="Times New Roman" w:hAnsi="Arial" w:cs="Arial"/>
          <w:b/>
        </w:rPr>
      </w:pPr>
      <w:r w:rsidRPr="002965EC">
        <w:rPr>
          <w:rFonts w:ascii="Arial" w:eastAsia="Times New Roman" w:hAnsi="Arial" w:cs="Arial"/>
          <w:b/>
        </w:rPr>
        <w:t>Terminatio</w:t>
      </w:r>
      <w:r w:rsidR="00B92A26" w:rsidRPr="002965EC">
        <w:rPr>
          <w:rFonts w:ascii="Arial" w:eastAsia="Times New Roman" w:hAnsi="Arial" w:cs="Arial"/>
          <w:b/>
        </w:rPr>
        <w:t>n of</w:t>
      </w:r>
      <w:r w:rsidRPr="002965EC">
        <w:rPr>
          <w:rFonts w:ascii="Arial" w:eastAsia="Times New Roman" w:hAnsi="Arial" w:cs="Arial"/>
          <w:b/>
        </w:rPr>
        <w:t xml:space="preserve"> Pregnancy</w:t>
      </w:r>
    </w:p>
    <w:p w14:paraId="6052E8E1" w14:textId="77777777" w:rsidR="000F39B8" w:rsidRPr="002965EC" w:rsidRDefault="000F39B8" w:rsidP="000F39B8">
      <w:pPr>
        <w:rPr>
          <w:rFonts w:ascii="Arial" w:eastAsia="Times New Roman" w:hAnsi="Arial" w:cs="Arial"/>
        </w:rPr>
      </w:pPr>
      <w:r w:rsidRPr="002965EC">
        <w:rPr>
          <w:rFonts w:ascii="Arial" w:eastAsia="Times New Roman" w:hAnsi="Arial" w:cs="Arial"/>
        </w:rPr>
        <w:t>On the matter of termination of pregnancy or abortion as it is commonly known, prior to 1994, it was an illegal practice and a criminal offence. Hence illegal abortions and “backstreet” abortion clinics were rife. The Choice of Termination of Pregnancy Act, No 92 of 1996 was enacted and ensures that women and girls from 12 years on are able to access the procedure at designated institutions. In addition, consent from a partner or parents in the instance of a girl of 12 years and older is not needed. Discrimination on the basis of HIV is outlawed in the workplace in the Employment Equity Act as well as in the Equality Act of 2000.</w:t>
      </w:r>
    </w:p>
    <w:p w14:paraId="67BCE018" w14:textId="77777777" w:rsidR="000F39B8" w:rsidRPr="002965EC" w:rsidRDefault="000F39B8" w:rsidP="000F39B8">
      <w:pPr>
        <w:rPr>
          <w:rFonts w:ascii="Arial" w:eastAsia="Times New Roman" w:hAnsi="Arial" w:cs="Arial"/>
        </w:rPr>
      </w:pPr>
      <w:r w:rsidRPr="002965EC">
        <w:rPr>
          <w:rFonts w:ascii="Arial" w:eastAsia="Times New Roman" w:hAnsi="Arial" w:cs="Arial"/>
        </w:rPr>
        <w:t xml:space="preserve">Primary health care including family planning, HIV/AIDS education and </w:t>
      </w:r>
      <w:r w:rsidR="00B92A26" w:rsidRPr="002965EC">
        <w:rPr>
          <w:rFonts w:ascii="Arial" w:eastAsia="Times New Roman" w:hAnsi="Arial" w:cs="Arial"/>
        </w:rPr>
        <w:t>counseling</w:t>
      </w:r>
      <w:r w:rsidRPr="002965EC">
        <w:rPr>
          <w:rFonts w:ascii="Arial" w:eastAsia="Times New Roman" w:hAnsi="Arial" w:cs="Arial"/>
        </w:rPr>
        <w:t>, maternal and child health services (deliveries, antenatal, postnatal and neonatal care) are provided for in legislation. Since June 1994 pregnant women, women 42 days post pregnancy, women with complications arising from delivery and children under the age of 6 years are able to access free primary health care, with a particular emphasis on the urban poor, rural and farm workers.</w:t>
      </w:r>
    </w:p>
    <w:p w14:paraId="53EDE92F" w14:textId="77777777" w:rsidR="000F39B8" w:rsidRPr="002965EC" w:rsidRDefault="000F39B8" w:rsidP="000F39B8">
      <w:pPr>
        <w:rPr>
          <w:rFonts w:ascii="Arial" w:eastAsia="Times New Roman" w:hAnsi="Arial" w:cs="Arial"/>
        </w:rPr>
      </w:pPr>
      <w:r w:rsidRPr="002965EC">
        <w:rPr>
          <w:rFonts w:ascii="Arial" w:eastAsia="Times New Roman" w:hAnsi="Arial" w:cs="Arial"/>
        </w:rPr>
        <w:t>The provision of a long and healthy life for all South Africans is also embed</w:t>
      </w:r>
      <w:r w:rsidR="00B92A26" w:rsidRPr="002965EC">
        <w:rPr>
          <w:rFonts w:ascii="Arial" w:eastAsia="Times New Roman" w:hAnsi="Arial" w:cs="Arial"/>
        </w:rPr>
        <w:t>ded</w:t>
      </w:r>
      <w:r w:rsidRPr="002965EC">
        <w:rPr>
          <w:rFonts w:ascii="Arial" w:eastAsia="Times New Roman" w:hAnsi="Arial" w:cs="Arial"/>
        </w:rPr>
        <w:t xml:space="preserve"> in outcome two of the NDP. The provision of primary health care mostly benefits women as part of our social protection services. We have clinics that provide youth friendly services benefitting the girl child, </w:t>
      </w:r>
      <w:proofErr w:type="spellStart"/>
      <w:r w:rsidRPr="002965EC">
        <w:rPr>
          <w:rFonts w:ascii="Arial" w:eastAsia="Times New Roman" w:hAnsi="Arial" w:cs="Arial"/>
        </w:rPr>
        <w:t>immunisation</w:t>
      </w:r>
      <w:proofErr w:type="spellEnd"/>
      <w:r w:rsidRPr="002965EC">
        <w:rPr>
          <w:rFonts w:ascii="Arial" w:eastAsia="Times New Roman" w:hAnsi="Arial" w:cs="Arial"/>
        </w:rPr>
        <w:t xml:space="preserve"> services to children, prevention of mother to child transmission coupled with provision of ARVs, victim support </w:t>
      </w:r>
      <w:proofErr w:type="spellStart"/>
      <w:r w:rsidRPr="002965EC">
        <w:rPr>
          <w:rFonts w:ascii="Arial" w:eastAsia="Times New Roman" w:hAnsi="Arial" w:cs="Arial"/>
        </w:rPr>
        <w:t>centres</w:t>
      </w:r>
      <w:proofErr w:type="spellEnd"/>
      <w:r w:rsidRPr="002965EC">
        <w:rPr>
          <w:rFonts w:ascii="Arial" w:eastAsia="Times New Roman" w:hAnsi="Arial" w:cs="Arial"/>
        </w:rPr>
        <w:t xml:space="preserve"> for post exposure prophylaxis to rape victims including psycho-social support, free cervical and breast cancer screening. The government has also set up </w:t>
      </w:r>
      <w:proofErr w:type="spellStart"/>
      <w:r w:rsidRPr="002965EC">
        <w:rPr>
          <w:rFonts w:ascii="Arial" w:eastAsia="Times New Roman" w:hAnsi="Arial" w:cs="Arial"/>
        </w:rPr>
        <w:t>Thuthuzela</w:t>
      </w:r>
      <w:proofErr w:type="spellEnd"/>
      <w:r w:rsidRPr="002965EC">
        <w:rPr>
          <w:rFonts w:ascii="Arial" w:eastAsia="Times New Roman" w:hAnsi="Arial" w:cs="Arial"/>
        </w:rPr>
        <w:t xml:space="preserve"> one-stop Care </w:t>
      </w:r>
      <w:proofErr w:type="spellStart"/>
      <w:r w:rsidRPr="002965EC">
        <w:rPr>
          <w:rFonts w:ascii="Arial" w:eastAsia="Times New Roman" w:hAnsi="Arial" w:cs="Arial"/>
        </w:rPr>
        <w:t>Centres</w:t>
      </w:r>
      <w:proofErr w:type="spellEnd"/>
      <w:r w:rsidRPr="002965EC">
        <w:rPr>
          <w:rFonts w:ascii="Arial" w:eastAsia="Times New Roman" w:hAnsi="Arial" w:cs="Arial"/>
        </w:rPr>
        <w:t xml:space="preserve">, Shelters for Abused Women and Children and related structures located within the country’s healthcare facilities to provide care and support services such as psycho-social support, forensic medical services, counseling, debriefing services, legal and prosecutorial support in order to achieve a comprehensive protection system for victims of gender based violence. </w:t>
      </w:r>
    </w:p>
    <w:p w14:paraId="6917A290" w14:textId="77777777" w:rsidR="000F39B8" w:rsidRPr="002965EC" w:rsidRDefault="000F39B8" w:rsidP="000F39B8">
      <w:pPr>
        <w:rPr>
          <w:rFonts w:ascii="Arial" w:eastAsia="Times New Roman" w:hAnsi="Arial" w:cs="Arial"/>
        </w:rPr>
      </w:pPr>
      <w:r w:rsidRPr="002965EC">
        <w:rPr>
          <w:rFonts w:ascii="Arial" w:eastAsia="Times New Roman" w:hAnsi="Arial" w:cs="Arial"/>
        </w:rPr>
        <w:t xml:space="preserve">Government is finalizing its plans to provide National Health Insurance. This will reduce the burden of care by women in terms of health costs, even though it will benefit both men and women. </w:t>
      </w:r>
    </w:p>
    <w:p w14:paraId="4AC45D22" w14:textId="77777777" w:rsidR="00442D48" w:rsidRPr="002965EC" w:rsidRDefault="00442D48" w:rsidP="00B44DE9">
      <w:pPr>
        <w:rPr>
          <w:rFonts w:ascii="Arial" w:hAnsi="Arial" w:cs="Arial"/>
          <w:b/>
        </w:rPr>
      </w:pPr>
    </w:p>
    <w:p w14:paraId="6A35ADA0" w14:textId="77777777" w:rsidR="006D2A9F" w:rsidRDefault="006D2A9F" w:rsidP="00B44DE9">
      <w:pPr>
        <w:rPr>
          <w:rFonts w:ascii="Arial" w:hAnsi="Arial" w:cs="Arial"/>
          <w:b/>
        </w:rPr>
      </w:pPr>
    </w:p>
    <w:p w14:paraId="2852CFE2" w14:textId="77777777" w:rsidR="006D2A9F" w:rsidRDefault="006D2A9F" w:rsidP="00B44DE9">
      <w:pPr>
        <w:rPr>
          <w:rFonts w:ascii="Arial" w:hAnsi="Arial" w:cs="Arial"/>
          <w:b/>
        </w:rPr>
      </w:pPr>
    </w:p>
    <w:p w14:paraId="0BFDD524" w14:textId="77777777" w:rsidR="00AA412E" w:rsidRPr="002965EC" w:rsidRDefault="00AA412E" w:rsidP="00B44DE9">
      <w:pPr>
        <w:rPr>
          <w:rFonts w:ascii="Arial" w:hAnsi="Arial" w:cs="Arial"/>
          <w:b/>
        </w:rPr>
      </w:pPr>
      <w:r w:rsidRPr="002965EC">
        <w:rPr>
          <w:rFonts w:ascii="Arial" w:hAnsi="Arial" w:cs="Arial"/>
          <w:b/>
        </w:rPr>
        <w:lastRenderedPageBreak/>
        <w:t>Education</w:t>
      </w:r>
    </w:p>
    <w:p w14:paraId="23E676DC" w14:textId="77777777" w:rsidR="00B44DE9" w:rsidRPr="002965EC" w:rsidRDefault="00B44DE9" w:rsidP="00B44DE9">
      <w:pPr>
        <w:autoSpaceDE w:val="0"/>
        <w:autoSpaceDN w:val="0"/>
        <w:adjustRightInd w:val="0"/>
        <w:spacing w:after="0"/>
        <w:rPr>
          <w:rFonts w:ascii="Arial" w:eastAsia="Times New Roman" w:hAnsi="Arial" w:cs="Arial"/>
        </w:rPr>
      </w:pPr>
      <w:r w:rsidRPr="002965EC">
        <w:rPr>
          <w:rFonts w:ascii="Arial" w:eastAsia="Times New Roman" w:hAnsi="Arial" w:cs="Arial"/>
        </w:rPr>
        <w:t>The percentage of individuals over the age of 20 years who could be regarded as functionally illiterate has declined from 28, 5% in 2002 to 13,7% in 2017. Between 2002 and 2017, the prevalence of functional illiteracy in the age group 20–39 years declined noticeably for both men (17,1% to 6,0%) and women (15,8% to 3,5%). With the exception of women in the age group 20–39, women remain more likely to be functionally illiterate across all age groups. The difference between men and women has, however, declined significantly over time. Although a higher percentage of women than men over the age of 60 years were functionally illiterate in 2017 (44,7% compared to 37,6%), the difference has declined in each successive age group, to the point that, in 2017, a smaller percentage of women in the age group 20–39 were functionally illiterate than their male peers (3,5% compared to 6,0%) (2017 General Household Survey, StatsSA, 2018).</w:t>
      </w:r>
    </w:p>
    <w:p w14:paraId="5B6A92EA" w14:textId="77777777" w:rsidR="00B44DE9" w:rsidRPr="002965EC" w:rsidRDefault="00B44DE9" w:rsidP="00B44DE9">
      <w:pPr>
        <w:tabs>
          <w:tab w:val="left" w:pos="426"/>
        </w:tabs>
        <w:spacing w:after="0"/>
        <w:ind w:right="-193"/>
        <w:rPr>
          <w:rFonts w:ascii="Arial" w:eastAsia="Times New Roman" w:hAnsi="Arial" w:cs="Arial"/>
        </w:rPr>
      </w:pPr>
    </w:p>
    <w:p w14:paraId="2292EF4E" w14:textId="77777777" w:rsidR="00B44DE9" w:rsidRPr="002965EC" w:rsidRDefault="00B44DE9" w:rsidP="00B44DE9">
      <w:pPr>
        <w:tabs>
          <w:tab w:val="left" w:pos="426"/>
        </w:tabs>
        <w:spacing w:after="0"/>
        <w:ind w:right="-193"/>
        <w:rPr>
          <w:rFonts w:ascii="Arial" w:eastAsia="Times New Roman" w:hAnsi="Arial" w:cs="Arial"/>
        </w:rPr>
      </w:pPr>
      <w:r w:rsidRPr="002965EC">
        <w:rPr>
          <w:rFonts w:ascii="Arial" w:eastAsia="Times New Roman" w:hAnsi="Arial" w:cs="Arial"/>
          <w:noProof/>
          <w:lang w:val="en-ZA" w:eastAsia="en-ZA"/>
        </w:rPr>
        <w:drawing>
          <wp:inline distT="0" distB="0" distL="0" distR="0" wp14:anchorId="43F7E198" wp14:editId="17966B19">
            <wp:extent cx="5731510" cy="2760966"/>
            <wp:effectExtent l="0" t="0" r="2540" b="1905"/>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F34412" w14:textId="77777777" w:rsidR="00B44DE9" w:rsidRPr="002965EC" w:rsidRDefault="00B44DE9" w:rsidP="00B44DE9">
      <w:pPr>
        <w:rPr>
          <w:rFonts w:ascii="Arial" w:hAnsi="Arial" w:cs="Arial"/>
          <w:i/>
        </w:rPr>
      </w:pPr>
    </w:p>
    <w:p w14:paraId="04876459" w14:textId="77777777" w:rsidR="00B44DE9" w:rsidRPr="002965EC" w:rsidRDefault="00B44DE9" w:rsidP="00B44DE9">
      <w:pPr>
        <w:tabs>
          <w:tab w:val="left" w:pos="426"/>
        </w:tabs>
        <w:spacing w:after="0"/>
        <w:ind w:right="-193"/>
        <w:rPr>
          <w:rFonts w:ascii="Arial" w:hAnsi="Arial" w:cs="Arial"/>
          <w:shd w:val="clear" w:color="auto" w:fill="FFFFFF"/>
        </w:rPr>
      </w:pPr>
      <w:r w:rsidRPr="002965EC">
        <w:rPr>
          <w:rFonts w:ascii="Arial" w:hAnsi="Arial" w:cs="Arial"/>
          <w:shd w:val="clear" w:color="auto" w:fill="FFFFFF"/>
        </w:rPr>
        <w:t xml:space="preserve">The gender distribution in South African higher education has changed since 2001. Women accounted for 54% of the total headcount enrolment in 2001, 55% in 2005 and 58% in 2011 when 542 997 women were enrolled in the public higher education. However, the graph above indicates that the gender distribution in South African higher education has not changed significantly over the past six years. In 2011 there were 542 997 women enrolled in the public higher education section, which constituted 58% of the total headcount enrolment for that year. Women still accounted for 58% of the total headcount enrolment in 2016. </w:t>
      </w:r>
    </w:p>
    <w:p w14:paraId="59215CE8" w14:textId="77777777" w:rsidR="00B44DE9" w:rsidRPr="002965EC" w:rsidRDefault="00B44DE9" w:rsidP="00B44DE9">
      <w:pPr>
        <w:spacing w:after="0"/>
        <w:rPr>
          <w:rFonts w:ascii="Arial" w:hAnsi="Arial" w:cs="Arial"/>
          <w:i/>
        </w:rPr>
      </w:pPr>
    </w:p>
    <w:p w14:paraId="6FF6216C" w14:textId="77777777" w:rsidR="00B44DE9" w:rsidRPr="002965EC" w:rsidRDefault="00B44DE9" w:rsidP="00B44DE9">
      <w:pPr>
        <w:rPr>
          <w:rFonts w:ascii="Arial" w:hAnsi="Arial" w:cs="Arial"/>
          <w:i/>
        </w:rPr>
      </w:pPr>
      <w:r w:rsidRPr="002965EC">
        <w:rPr>
          <w:rFonts w:ascii="Arial" w:hAnsi="Arial" w:cs="Arial"/>
          <w:noProof/>
          <w:lang w:val="en-ZA" w:eastAsia="en-ZA"/>
        </w:rPr>
        <w:lastRenderedPageBreak/>
        <w:drawing>
          <wp:inline distT="0" distB="0" distL="0" distR="0" wp14:anchorId="0097609F" wp14:editId="4A6272A0">
            <wp:extent cx="5731510" cy="2745420"/>
            <wp:effectExtent l="0" t="0" r="2540" b="1714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06D10B6" w14:textId="77777777" w:rsidR="009C0024" w:rsidRPr="002965EC" w:rsidRDefault="009C0024" w:rsidP="009C0024">
      <w:pPr>
        <w:rPr>
          <w:rFonts w:ascii="Arial" w:hAnsi="Arial" w:cs="Arial"/>
          <w:b/>
          <w:i/>
        </w:rPr>
      </w:pPr>
      <w:r w:rsidRPr="002965EC">
        <w:rPr>
          <w:rFonts w:ascii="Arial" w:hAnsi="Arial" w:cs="Arial"/>
        </w:rPr>
        <w:t>It is crucial to ensure that social protection, public services and infrastructure policies complement one other in their objectives, functions and financing.</w:t>
      </w:r>
      <w:r w:rsidRPr="002965EC">
        <w:rPr>
          <w:rFonts w:ascii="Arial" w:hAnsi="Arial" w:cs="Arial"/>
          <w:b/>
          <w:i/>
        </w:rPr>
        <w:t xml:space="preserve"> </w:t>
      </w:r>
      <w:r w:rsidRPr="002965EC">
        <w:rPr>
          <w:rFonts w:ascii="Arial" w:hAnsi="Arial" w:cs="Arial"/>
        </w:rPr>
        <w:t>Education is widely considered to be a public service, but it cannot function without adequate physical infrastructure, including school buildings with safe sanitation facilities for girls.</w:t>
      </w:r>
    </w:p>
    <w:p w14:paraId="0327064A" w14:textId="77777777" w:rsidR="009C0024" w:rsidRPr="002965EC" w:rsidRDefault="009C0024" w:rsidP="009C0024">
      <w:pPr>
        <w:rPr>
          <w:rFonts w:ascii="Arial" w:hAnsi="Arial" w:cs="Arial"/>
          <w:b/>
        </w:rPr>
      </w:pPr>
      <w:r w:rsidRPr="002965EC">
        <w:rPr>
          <w:rFonts w:ascii="Arial" w:hAnsi="Arial" w:cs="Arial"/>
          <w:b/>
        </w:rPr>
        <w:t>Free Basic and Higher education</w:t>
      </w:r>
    </w:p>
    <w:p w14:paraId="0B28F524" w14:textId="77777777" w:rsidR="009C0024" w:rsidRPr="002965EC" w:rsidRDefault="009C0024" w:rsidP="009C0024">
      <w:pPr>
        <w:rPr>
          <w:rFonts w:ascii="Arial" w:hAnsi="Arial" w:cs="Arial"/>
        </w:rPr>
      </w:pPr>
      <w:r w:rsidRPr="002965EC">
        <w:rPr>
          <w:rFonts w:ascii="Arial" w:hAnsi="Arial" w:cs="Arial"/>
        </w:rPr>
        <w:t xml:space="preserve">In line with outcome 1 of the National development Plan (NDP), free basic Education is priority number one in government’s programmes. The basket of services offered to children within the education sector includes; universal access to Early Childhood Development, expansion of grade R which includes the first 2 years to grade R, provision of compulsory free education, free school uniform, scholar transport within a 5km radius, school nutrition programme including at Early childhood development (ECD) level. </w:t>
      </w:r>
    </w:p>
    <w:p w14:paraId="3D5118A8" w14:textId="77777777" w:rsidR="009C0024" w:rsidRPr="002965EC" w:rsidRDefault="009C0024" w:rsidP="009C0024">
      <w:pPr>
        <w:rPr>
          <w:rFonts w:ascii="Arial" w:hAnsi="Arial" w:cs="Arial"/>
          <w:b/>
        </w:rPr>
      </w:pPr>
      <w:r w:rsidRPr="002965EC">
        <w:rPr>
          <w:rFonts w:ascii="Arial" w:hAnsi="Arial" w:cs="Arial"/>
          <w:b/>
        </w:rPr>
        <w:t>Early childhood development</w:t>
      </w:r>
    </w:p>
    <w:p w14:paraId="6B2BC6CD" w14:textId="77777777" w:rsidR="009C0024" w:rsidRPr="002965EC" w:rsidRDefault="009C0024" w:rsidP="009C0024">
      <w:pPr>
        <w:rPr>
          <w:rFonts w:ascii="Arial" w:hAnsi="Arial" w:cs="Arial"/>
        </w:rPr>
      </w:pPr>
      <w:r w:rsidRPr="002965EC">
        <w:rPr>
          <w:rFonts w:ascii="Arial" w:hAnsi="Arial" w:cs="Arial"/>
        </w:rPr>
        <w:t xml:space="preserve">Early childhood development is a key aspect of a gender-responsive social security system.  The provision of Early Childhood Services affords women an opportunity to seek employment and be gainfully employed. Improving access to quality ECD services, the NDP </w:t>
      </w:r>
      <w:proofErr w:type="spellStart"/>
      <w:r w:rsidRPr="002965EC">
        <w:rPr>
          <w:rFonts w:ascii="Arial" w:hAnsi="Arial" w:cs="Arial"/>
        </w:rPr>
        <w:t>recognises</w:t>
      </w:r>
      <w:proofErr w:type="spellEnd"/>
      <w:r w:rsidRPr="002965EC">
        <w:rPr>
          <w:rFonts w:ascii="Arial" w:hAnsi="Arial" w:cs="Arial"/>
        </w:rPr>
        <w:t xml:space="preserve"> ECD as an important aspect in broad-based development. By the end of 2016/17, an estimated 607 092 poor children were </w:t>
      </w:r>
      <w:proofErr w:type="spellStart"/>
      <w:r w:rsidRPr="002965EC">
        <w:rPr>
          <w:rFonts w:ascii="Arial" w:hAnsi="Arial" w:cs="Arial"/>
        </w:rPr>
        <w:t>subsidised</w:t>
      </w:r>
      <w:proofErr w:type="spellEnd"/>
      <w:r w:rsidRPr="002965EC">
        <w:rPr>
          <w:rFonts w:ascii="Arial" w:hAnsi="Arial" w:cs="Arial"/>
        </w:rPr>
        <w:t xml:space="preserve"> for ECD. The department of Social Development aims to expand access to the subsidy over the medium term through the early childhood development grant to provinces. </w:t>
      </w:r>
    </w:p>
    <w:p w14:paraId="097698F7" w14:textId="77777777" w:rsidR="009C0024" w:rsidRPr="002965EC" w:rsidRDefault="009C0024" w:rsidP="009C0024">
      <w:pPr>
        <w:rPr>
          <w:rFonts w:ascii="Arial" w:hAnsi="Arial" w:cs="Arial"/>
        </w:rPr>
      </w:pPr>
      <w:r w:rsidRPr="002965EC">
        <w:rPr>
          <w:rFonts w:ascii="Arial" w:hAnsi="Arial" w:cs="Arial"/>
        </w:rPr>
        <w:t xml:space="preserve">An ECD policy was approved by Cabinet in December 2015, with an integrated implementation plan on the policy expected to be </w:t>
      </w:r>
      <w:proofErr w:type="spellStart"/>
      <w:r w:rsidRPr="002965EC">
        <w:rPr>
          <w:rFonts w:ascii="Arial" w:hAnsi="Arial" w:cs="Arial"/>
        </w:rPr>
        <w:t>finalised</w:t>
      </w:r>
      <w:proofErr w:type="spellEnd"/>
      <w:r w:rsidRPr="002965EC">
        <w:rPr>
          <w:rFonts w:ascii="Arial" w:hAnsi="Arial" w:cs="Arial"/>
        </w:rPr>
        <w:t xml:space="preserve"> by March 2018. As the policy is implemented, government expects to provide the subsidy to all poor children </w:t>
      </w:r>
      <w:r w:rsidRPr="002965EC">
        <w:rPr>
          <w:rFonts w:ascii="Arial" w:hAnsi="Arial" w:cs="Arial"/>
        </w:rPr>
        <w:lastRenderedPageBreak/>
        <w:t xml:space="preserve">accessing ECD services in registered </w:t>
      </w:r>
      <w:proofErr w:type="spellStart"/>
      <w:r w:rsidRPr="002965EC">
        <w:rPr>
          <w:rFonts w:ascii="Arial" w:hAnsi="Arial" w:cs="Arial"/>
        </w:rPr>
        <w:t>centres</w:t>
      </w:r>
      <w:proofErr w:type="spellEnd"/>
      <w:r w:rsidRPr="002965EC">
        <w:rPr>
          <w:rFonts w:ascii="Arial" w:hAnsi="Arial" w:cs="Arial"/>
        </w:rPr>
        <w:t xml:space="preserve">. In addition to the existing number of poor children </w:t>
      </w:r>
      <w:proofErr w:type="spellStart"/>
      <w:r w:rsidRPr="002965EC">
        <w:rPr>
          <w:rFonts w:ascii="Arial" w:hAnsi="Arial" w:cs="Arial"/>
        </w:rPr>
        <w:t>subsidised</w:t>
      </w:r>
      <w:proofErr w:type="spellEnd"/>
      <w:r w:rsidRPr="002965EC">
        <w:rPr>
          <w:rFonts w:ascii="Arial" w:hAnsi="Arial" w:cs="Arial"/>
        </w:rPr>
        <w:t xml:space="preserve"> for ECD, it is anticipated that a further 113 448 children will be </w:t>
      </w:r>
      <w:proofErr w:type="spellStart"/>
      <w:r w:rsidRPr="002965EC">
        <w:rPr>
          <w:rFonts w:ascii="Arial" w:hAnsi="Arial" w:cs="Arial"/>
        </w:rPr>
        <w:t>subsidised</w:t>
      </w:r>
      <w:proofErr w:type="spellEnd"/>
      <w:r w:rsidRPr="002965EC">
        <w:rPr>
          <w:rFonts w:ascii="Arial" w:hAnsi="Arial" w:cs="Arial"/>
        </w:rPr>
        <w:t xml:space="preserve"> over the MTEF period. An ECD financing strategy is also expected to be </w:t>
      </w:r>
      <w:proofErr w:type="spellStart"/>
      <w:r w:rsidRPr="002965EC">
        <w:rPr>
          <w:rFonts w:ascii="Arial" w:hAnsi="Arial" w:cs="Arial"/>
        </w:rPr>
        <w:t>finalised</w:t>
      </w:r>
      <w:proofErr w:type="spellEnd"/>
      <w:r w:rsidRPr="002965EC">
        <w:rPr>
          <w:rFonts w:ascii="Arial" w:hAnsi="Arial" w:cs="Arial"/>
        </w:rPr>
        <w:t xml:space="preserve"> in 2018/19 with the aim of providing a long-term approach to funding quality improvements and increasing coverage across age groups using different approaches such as early learning, playgroups, toy libraries and home visiting programmes for parents. </w:t>
      </w:r>
    </w:p>
    <w:p w14:paraId="25D70430" w14:textId="77777777" w:rsidR="009C0024" w:rsidRPr="002965EC" w:rsidRDefault="009C0024" w:rsidP="009C0024">
      <w:pPr>
        <w:rPr>
          <w:rFonts w:ascii="Arial" w:hAnsi="Arial" w:cs="Arial"/>
        </w:rPr>
      </w:pPr>
      <w:r w:rsidRPr="002965EC">
        <w:rPr>
          <w:rFonts w:ascii="Arial" w:hAnsi="Arial" w:cs="Arial"/>
        </w:rPr>
        <w:t xml:space="preserve">As part of the early childhood development grant, R250.6 million is allocated over the medium term for minor upgrades to an estimated 1 165 conditionally registered </w:t>
      </w:r>
      <w:proofErr w:type="spellStart"/>
      <w:r w:rsidRPr="002965EC">
        <w:rPr>
          <w:rFonts w:ascii="Arial" w:hAnsi="Arial" w:cs="Arial"/>
        </w:rPr>
        <w:t>centres</w:t>
      </w:r>
      <w:proofErr w:type="spellEnd"/>
      <w:r w:rsidRPr="002965EC">
        <w:rPr>
          <w:rFonts w:ascii="Arial" w:hAnsi="Arial" w:cs="Arial"/>
        </w:rPr>
        <w:t xml:space="preserve"> to allow them to comply with the minimum norms and standards as set out in the Children’s Act (2005).</w:t>
      </w:r>
    </w:p>
    <w:p w14:paraId="44C871B7" w14:textId="77777777" w:rsidR="00D8633D" w:rsidRPr="002965EC" w:rsidRDefault="00D8633D" w:rsidP="009C0024">
      <w:pPr>
        <w:rPr>
          <w:rFonts w:ascii="Arial" w:hAnsi="Arial" w:cs="Arial"/>
          <w:b/>
        </w:rPr>
      </w:pPr>
      <w:r w:rsidRPr="002965EC">
        <w:rPr>
          <w:rFonts w:ascii="Arial" w:hAnsi="Arial" w:cs="Arial"/>
          <w:noProof/>
          <w:lang w:val="en-ZA" w:eastAsia="en-ZA"/>
        </w:rPr>
        <w:drawing>
          <wp:inline distT="0" distB="0" distL="0" distR="0" wp14:anchorId="3AF58495" wp14:editId="77EC0BB6">
            <wp:extent cx="5943600" cy="3874770"/>
            <wp:effectExtent l="0" t="0" r="1905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2965EC">
        <w:rPr>
          <w:rFonts w:ascii="Arial" w:hAnsi="Arial" w:cs="Arial"/>
          <w:b/>
        </w:rPr>
        <w:t xml:space="preserve"> </w:t>
      </w:r>
    </w:p>
    <w:p w14:paraId="58BF4FDF" w14:textId="77777777" w:rsidR="009C0024" w:rsidRPr="002965EC" w:rsidRDefault="009C0024" w:rsidP="009C0024">
      <w:pPr>
        <w:rPr>
          <w:rFonts w:ascii="Arial" w:hAnsi="Arial" w:cs="Arial"/>
          <w:b/>
        </w:rPr>
      </w:pPr>
      <w:r w:rsidRPr="002965EC">
        <w:rPr>
          <w:rFonts w:ascii="Arial" w:hAnsi="Arial" w:cs="Arial"/>
          <w:b/>
        </w:rPr>
        <w:t>Basic Education</w:t>
      </w:r>
    </w:p>
    <w:p w14:paraId="3E680869" w14:textId="77777777" w:rsidR="009C0024" w:rsidRPr="002965EC" w:rsidRDefault="009C0024" w:rsidP="009C0024">
      <w:pPr>
        <w:rPr>
          <w:rFonts w:ascii="Arial" w:hAnsi="Arial" w:cs="Arial"/>
        </w:rPr>
      </w:pPr>
      <w:r w:rsidRPr="002965EC">
        <w:rPr>
          <w:rFonts w:ascii="Arial" w:hAnsi="Arial" w:cs="Arial"/>
        </w:rPr>
        <w:t xml:space="preserve">Education was one of the core areas in which racial and economic discriminations under the Apartheid regime was most significantly observed. This resulted in deep divisions between </w:t>
      </w:r>
      <w:r w:rsidR="0064460C" w:rsidRPr="002965EC">
        <w:rPr>
          <w:rFonts w:ascii="Arial" w:hAnsi="Arial" w:cs="Arial"/>
        </w:rPr>
        <w:t>the different population groupin</w:t>
      </w:r>
      <w:r w:rsidRPr="002965EC">
        <w:rPr>
          <w:rFonts w:ascii="Arial" w:hAnsi="Arial" w:cs="Arial"/>
        </w:rPr>
        <w:t xml:space="preserve">gs in the country in terms of provision, quality and equity of education. It was also divided along geographical lines – between urban and rural areas. However, the greatest ramification as a result of this past has been the effect and impact on women and girls where, especially those in the rural </w:t>
      </w:r>
      <w:r w:rsidRPr="002965EC">
        <w:rPr>
          <w:rFonts w:ascii="Arial" w:hAnsi="Arial" w:cs="Arial"/>
        </w:rPr>
        <w:lastRenderedPageBreak/>
        <w:t xml:space="preserve">areas, suffered deep inequality in terms of accessing basic education, compounded by the burden of their domestic and care duties which their male counterparts did not share. As a consequence there was an inequitable educational system in the country and this still has consequences for young women and </w:t>
      </w:r>
      <w:r w:rsidR="00B92A26" w:rsidRPr="002965EC">
        <w:rPr>
          <w:rFonts w:ascii="Arial" w:hAnsi="Arial" w:cs="Arial"/>
        </w:rPr>
        <w:t>girls’</w:t>
      </w:r>
      <w:r w:rsidRPr="002965EC">
        <w:rPr>
          <w:rFonts w:ascii="Arial" w:hAnsi="Arial" w:cs="Arial"/>
        </w:rPr>
        <w:t xml:space="preserve"> education in present day. Despite the great strides made in the education sector since 1994, there is endemic gender discrimination, sexual harassment , teenage pregnancies and early dropouts, increasing HIV and AIDs infection rates, and violence (especially </w:t>
      </w:r>
      <w:r w:rsidR="0064460C" w:rsidRPr="002965EC">
        <w:rPr>
          <w:rFonts w:ascii="Arial" w:hAnsi="Arial" w:cs="Arial"/>
        </w:rPr>
        <w:t>rape and sexual offences) exper</w:t>
      </w:r>
      <w:r w:rsidRPr="002965EC">
        <w:rPr>
          <w:rFonts w:ascii="Arial" w:hAnsi="Arial" w:cs="Arial"/>
        </w:rPr>
        <w:t>i</w:t>
      </w:r>
      <w:r w:rsidR="0064460C" w:rsidRPr="002965EC">
        <w:rPr>
          <w:rFonts w:ascii="Arial" w:hAnsi="Arial" w:cs="Arial"/>
        </w:rPr>
        <w:t>e</w:t>
      </w:r>
      <w:r w:rsidRPr="002965EC">
        <w:rPr>
          <w:rFonts w:ascii="Arial" w:hAnsi="Arial" w:cs="Arial"/>
        </w:rPr>
        <w:t>nced by girls and young women in the educational sphere. In addition, there is the issue</w:t>
      </w:r>
      <w:r w:rsidR="0064460C" w:rsidRPr="002965EC">
        <w:rPr>
          <w:rFonts w:ascii="Arial" w:hAnsi="Arial" w:cs="Arial"/>
        </w:rPr>
        <w:t xml:space="preserve"> of the “sugar daddy’ or ‘</w:t>
      </w:r>
      <w:proofErr w:type="spellStart"/>
      <w:r w:rsidR="0064460C" w:rsidRPr="002965EC">
        <w:rPr>
          <w:rFonts w:ascii="Arial" w:hAnsi="Arial" w:cs="Arial"/>
        </w:rPr>
        <w:t>blesse</w:t>
      </w:r>
      <w:r w:rsidRPr="002965EC">
        <w:rPr>
          <w:rFonts w:ascii="Arial" w:hAnsi="Arial" w:cs="Arial"/>
        </w:rPr>
        <w:t>rs</w:t>
      </w:r>
      <w:proofErr w:type="spellEnd"/>
      <w:r w:rsidRPr="002965EC">
        <w:rPr>
          <w:rFonts w:ascii="Arial" w:hAnsi="Arial" w:cs="Arial"/>
        </w:rPr>
        <w:t xml:space="preserve">” syndrome that is part of the life of young women and girls. </w:t>
      </w:r>
    </w:p>
    <w:p w14:paraId="38177B49" w14:textId="77777777" w:rsidR="009C0024" w:rsidRPr="002965EC" w:rsidRDefault="009C0024" w:rsidP="009C0024">
      <w:pPr>
        <w:rPr>
          <w:rFonts w:ascii="Arial" w:hAnsi="Arial" w:cs="Arial"/>
        </w:rPr>
      </w:pPr>
      <w:r w:rsidRPr="002965EC">
        <w:rPr>
          <w:rFonts w:ascii="Arial" w:hAnsi="Arial" w:cs="Arial"/>
        </w:rPr>
        <w:t>Section 29 of the Constitution provides for the right to receive basic education. As a socio-economic right, section 29(1) obliges government to make education available and accessible to everyone. Section 29(1</w:t>
      </w:r>
      <w:proofErr w:type="gramStart"/>
      <w:r w:rsidRPr="002965EC">
        <w:rPr>
          <w:rFonts w:ascii="Arial" w:hAnsi="Arial" w:cs="Arial"/>
        </w:rPr>
        <w:t>)(</w:t>
      </w:r>
      <w:proofErr w:type="gramEnd"/>
      <w:r w:rsidRPr="002965EC">
        <w:rPr>
          <w:rFonts w:ascii="Arial" w:hAnsi="Arial" w:cs="Arial"/>
        </w:rPr>
        <w:t>a) in particular entitles everyone to a basic education South Africa has no fee paying schools. CEDAW, article 10 provides for the right to equity of access to basic education. In 1994, there was no legislation that directly addressed the discrimination and harassment which female learners and students experienced. In 1995, the White Paper on Education and Training acknowledged that the right to education included gender equity. Since then the Education Act 1996 was enacted.</w:t>
      </w:r>
    </w:p>
    <w:p w14:paraId="77E182DF" w14:textId="77777777" w:rsidR="009C0024" w:rsidRPr="002965EC" w:rsidRDefault="009C0024" w:rsidP="009C0024">
      <w:pPr>
        <w:rPr>
          <w:rFonts w:ascii="Arial" w:hAnsi="Arial" w:cs="Arial"/>
        </w:rPr>
      </w:pPr>
      <w:r w:rsidRPr="002965EC">
        <w:rPr>
          <w:rFonts w:ascii="Arial" w:hAnsi="Arial" w:cs="Arial"/>
        </w:rPr>
        <w:t>We have since seen the roll out of new schools built in the country. Government forged a partnership with private sector, and a special focus is on the provision of water and sanitation in deserving schools. Government is finalizing a Sanitary Dignity Framework, and will be rolling out the provision of sanitary pads in the next financial year to all provinces. This is part of the menstrual health management programme. It is an initiative benefits the girl child during their menstrual cycle, and upholding the dignity of the girl child. This programme seeks to keep the girl child at school. Since its inception we have seen improved school attendance and performance by the girl child, and increased participation in sport. The programmes listed already reflect the inter-linkages of the social protection programmes and social infrastructure within the education sector.</w:t>
      </w:r>
    </w:p>
    <w:p w14:paraId="21669FAC" w14:textId="77777777" w:rsidR="00EC078F" w:rsidRDefault="00EC078F" w:rsidP="009C0024">
      <w:pPr>
        <w:rPr>
          <w:rFonts w:ascii="Arial" w:hAnsi="Arial" w:cs="Arial"/>
          <w:b/>
        </w:rPr>
      </w:pPr>
    </w:p>
    <w:p w14:paraId="79084A4B" w14:textId="77777777" w:rsidR="009C0024" w:rsidRPr="002965EC" w:rsidRDefault="009C0024" w:rsidP="009C0024">
      <w:pPr>
        <w:rPr>
          <w:rFonts w:ascii="Arial" w:hAnsi="Arial" w:cs="Arial"/>
          <w:b/>
        </w:rPr>
      </w:pPr>
      <w:r w:rsidRPr="002965EC">
        <w:rPr>
          <w:rFonts w:ascii="Arial" w:hAnsi="Arial" w:cs="Arial"/>
          <w:b/>
        </w:rPr>
        <w:t>Higher education</w:t>
      </w:r>
    </w:p>
    <w:p w14:paraId="4E172405" w14:textId="77777777" w:rsidR="009C0024" w:rsidRPr="002965EC" w:rsidRDefault="009C0024" w:rsidP="009C0024">
      <w:pPr>
        <w:rPr>
          <w:rFonts w:ascii="Arial" w:hAnsi="Arial" w:cs="Arial"/>
          <w:szCs w:val="24"/>
        </w:rPr>
      </w:pPr>
      <w:r w:rsidRPr="002965EC">
        <w:rPr>
          <w:rFonts w:ascii="Arial" w:hAnsi="Arial" w:cs="Arial"/>
        </w:rPr>
        <w:t xml:space="preserve">Government offers free tertiary education to </w:t>
      </w:r>
      <w:r w:rsidR="00CE2708" w:rsidRPr="002965EC">
        <w:rPr>
          <w:rFonts w:ascii="Arial" w:hAnsi="Arial" w:cs="Arial"/>
        </w:rPr>
        <w:t xml:space="preserve">qualifying </w:t>
      </w:r>
      <w:r w:rsidRPr="002965EC">
        <w:rPr>
          <w:rFonts w:ascii="Arial" w:hAnsi="Arial" w:cs="Arial"/>
        </w:rPr>
        <w:t>students through the National Student Financial Aid Scheme (NSFAS) programme. Linked to this programme is an allocation of R275 for personal hygiene targeting boys and girls. This allocation is meant for the sanitary dignity products in respect of girls at tertiary school</w:t>
      </w:r>
      <w:r w:rsidRPr="002965EC">
        <w:rPr>
          <w:rFonts w:ascii="Arial" w:hAnsi="Arial" w:cs="Arial"/>
          <w:szCs w:val="24"/>
        </w:rPr>
        <w:t>.</w:t>
      </w:r>
    </w:p>
    <w:p w14:paraId="68CDA88F" w14:textId="77777777" w:rsidR="002965EC" w:rsidRDefault="002965EC" w:rsidP="00240CD8">
      <w:pPr>
        <w:tabs>
          <w:tab w:val="left" w:pos="426"/>
        </w:tabs>
        <w:spacing w:after="0" w:line="240" w:lineRule="auto"/>
        <w:ind w:right="-193"/>
        <w:rPr>
          <w:rFonts w:ascii="Arial" w:eastAsia="Times New Roman" w:hAnsi="Arial" w:cs="Arial"/>
          <w:b/>
          <w:szCs w:val="24"/>
          <w:lang w:eastAsia="en-ZA"/>
        </w:rPr>
      </w:pPr>
    </w:p>
    <w:p w14:paraId="34C86080" w14:textId="77777777" w:rsidR="00240CD8" w:rsidRPr="002965EC" w:rsidRDefault="00240CD8" w:rsidP="00240CD8">
      <w:pPr>
        <w:tabs>
          <w:tab w:val="left" w:pos="426"/>
        </w:tabs>
        <w:spacing w:after="0" w:line="240" w:lineRule="auto"/>
        <w:ind w:right="-193"/>
        <w:rPr>
          <w:rFonts w:ascii="Arial" w:eastAsia="Times New Roman" w:hAnsi="Arial" w:cs="Arial"/>
          <w:b/>
          <w:szCs w:val="24"/>
          <w:lang w:eastAsia="en-ZA"/>
        </w:rPr>
      </w:pPr>
      <w:r w:rsidRPr="002965EC">
        <w:rPr>
          <w:rFonts w:ascii="Arial" w:eastAsia="Times New Roman" w:hAnsi="Arial" w:cs="Arial"/>
          <w:b/>
          <w:szCs w:val="24"/>
          <w:lang w:eastAsia="en-ZA"/>
        </w:rPr>
        <w:lastRenderedPageBreak/>
        <w:t>Education Funding</w:t>
      </w:r>
      <w:r w:rsidR="00CE2708" w:rsidRPr="002965EC">
        <w:rPr>
          <w:rFonts w:ascii="Arial" w:eastAsia="Times New Roman" w:hAnsi="Arial" w:cs="Arial"/>
          <w:b/>
          <w:szCs w:val="24"/>
          <w:lang w:eastAsia="en-ZA"/>
        </w:rPr>
        <w:t xml:space="preserve"> </w:t>
      </w:r>
    </w:p>
    <w:p w14:paraId="062ACD38" w14:textId="77777777" w:rsidR="00E50BAE" w:rsidRDefault="00E50BAE" w:rsidP="00240CD8">
      <w:pPr>
        <w:tabs>
          <w:tab w:val="left" w:pos="426"/>
        </w:tabs>
        <w:spacing w:after="0" w:line="240" w:lineRule="auto"/>
        <w:ind w:right="-193"/>
        <w:rPr>
          <w:rFonts w:ascii="Arial" w:eastAsia="Times New Roman" w:hAnsi="Arial" w:cs="Arial"/>
          <w:szCs w:val="24"/>
          <w:lang w:eastAsia="en-ZA"/>
        </w:rPr>
      </w:pPr>
    </w:p>
    <w:p w14:paraId="330F9218" w14:textId="77777777" w:rsidR="00240CD8" w:rsidRDefault="00E50BAE" w:rsidP="00240CD8">
      <w:pPr>
        <w:tabs>
          <w:tab w:val="left" w:pos="426"/>
        </w:tabs>
        <w:spacing w:after="0" w:line="240" w:lineRule="auto"/>
        <w:ind w:right="-193"/>
        <w:rPr>
          <w:rFonts w:ascii="Arial" w:eastAsia="Times New Roman" w:hAnsi="Arial" w:cs="Arial"/>
          <w:szCs w:val="24"/>
          <w:lang w:eastAsia="en-ZA"/>
        </w:rPr>
      </w:pPr>
      <w:r>
        <w:rPr>
          <w:rFonts w:ascii="Arial" w:eastAsia="Times New Roman" w:hAnsi="Arial" w:cs="Arial"/>
          <w:szCs w:val="24"/>
          <w:lang w:eastAsia="en-ZA"/>
        </w:rPr>
        <w:t xml:space="preserve">The NSFAS funding has increased from 83 251students in 2000 to 186 251 in 2014. In All the years females have been the largest beneficiaries compared to males. Similar trends have been depicted with other bursary schemes such as the </w:t>
      </w:r>
      <w:proofErr w:type="spellStart"/>
      <w:r>
        <w:rPr>
          <w:rFonts w:ascii="Arial" w:eastAsia="Times New Roman" w:hAnsi="Arial" w:cs="Arial"/>
          <w:szCs w:val="24"/>
          <w:lang w:eastAsia="en-ZA"/>
        </w:rPr>
        <w:t>Funza</w:t>
      </w:r>
      <w:proofErr w:type="spellEnd"/>
      <w:r>
        <w:rPr>
          <w:rFonts w:ascii="Arial" w:eastAsia="Times New Roman" w:hAnsi="Arial" w:cs="Arial"/>
          <w:szCs w:val="24"/>
          <w:lang w:eastAsia="en-ZA"/>
        </w:rPr>
        <w:t xml:space="preserve"> </w:t>
      </w:r>
      <w:proofErr w:type="spellStart"/>
      <w:r>
        <w:rPr>
          <w:rFonts w:ascii="Arial" w:eastAsia="Times New Roman" w:hAnsi="Arial" w:cs="Arial"/>
          <w:szCs w:val="24"/>
          <w:lang w:eastAsia="en-ZA"/>
        </w:rPr>
        <w:t>Lushaka</w:t>
      </w:r>
      <w:proofErr w:type="spellEnd"/>
      <w:r>
        <w:rPr>
          <w:rFonts w:ascii="Arial" w:eastAsia="Times New Roman" w:hAnsi="Arial" w:cs="Arial"/>
          <w:szCs w:val="24"/>
          <w:lang w:eastAsia="en-ZA"/>
        </w:rPr>
        <w:t xml:space="preserve"> bursary. </w:t>
      </w:r>
    </w:p>
    <w:p w14:paraId="776477C2" w14:textId="77777777" w:rsidR="00E50BAE" w:rsidRDefault="00EC078F" w:rsidP="00240CD8">
      <w:pPr>
        <w:tabs>
          <w:tab w:val="left" w:pos="426"/>
        </w:tabs>
        <w:spacing w:after="0" w:line="240" w:lineRule="auto"/>
        <w:ind w:right="-193"/>
        <w:rPr>
          <w:rFonts w:ascii="Arial" w:eastAsia="Times New Roman" w:hAnsi="Arial" w:cs="Arial"/>
          <w:szCs w:val="24"/>
          <w:lang w:eastAsia="en-ZA"/>
        </w:rPr>
      </w:pPr>
      <w:r>
        <w:rPr>
          <w:rFonts w:ascii="Arial" w:eastAsia="Times New Roman" w:hAnsi="Arial" w:cs="Arial"/>
          <w:szCs w:val="24"/>
          <w:lang w:eastAsia="en-ZA"/>
        </w:rPr>
        <w:t xml:space="preserve">This is shown in the tables and graph below. </w:t>
      </w:r>
    </w:p>
    <w:p w14:paraId="645353E5" w14:textId="77777777" w:rsidR="006D2A9F" w:rsidRPr="002965EC" w:rsidRDefault="006D2A9F" w:rsidP="00240CD8">
      <w:pPr>
        <w:tabs>
          <w:tab w:val="left" w:pos="426"/>
        </w:tabs>
        <w:spacing w:after="0" w:line="240" w:lineRule="auto"/>
        <w:ind w:right="-193"/>
        <w:rPr>
          <w:rFonts w:ascii="Arial" w:eastAsia="Times New Roman" w:hAnsi="Arial" w:cs="Arial"/>
          <w:szCs w:val="24"/>
          <w:lang w:eastAsia="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72"/>
        <w:gridCol w:w="572"/>
        <w:gridCol w:w="572"/>
        <w:gridCol w:w="572"/>
        <w:gridCol w:w="572"/>
        <w:gridCol w:w="572"/>
        <w:gridCol w:w="572"/>
        <w:gridCol w:w="572"/>
        <w:gridCol w:w="572"/>
        <w:gridCol w:w="572"/>
        <w:gridCol w:w="572"/>
        <w:gridCol w:w="572"/>
        <w:gridCol w:w="617"/>
        <w:gridCol w:w="617"/>
        <w:gridCol w:w="617"/>
      </w:tblGrid>
      <w:tr w:rsidR="00240CD8" w:rsidRPr="002965EC" w14:paraId="37421529" w14:textId="77777777" w:rsidTr="00E50BAE">
        <w:trPr>
          <w:trHeight w:val="300"/>
        </w:trPr>
        <w:tc>
          <w:tcPr>
            <w:tcW w:w="0" w:type="auto"/>
            <w:gridSpan w:val="16"/>
            <w:shd w:val="clear" w:color="auto" w:fill="auto"/>
            <w:noWrap/>
            <w:vAlign w:val="bottom"/>
            <w:hideMark/>
          </w:tcPr>
          <w:p w14:paraId="6BC6734C" w14:textId="77777777" w:rsidR="00240CD8" w:rsidRPr="002965EC" w:rsidRDefault="00240CD8" w:rsidP="006A7149">
            <w:pPr>
              <w:spacing w:after="0" w:line="240" w:lineRule="auto"/>
              <w:rPr>
                <w:rFonts w:ascii="Arial" w:eastAsia="Times New Roman" w:hAnsi="Arial" w:cs="Arial"/>
                <w:color w:val="000000"/>
                <w:sz w:val="16"/>
                <w:szCs w:val="16"/>
                <w:lang w:eastAsia="en-ZA"/>
              </w:rPr>
            </w:pPr>
            <w:r w:rsidRPr="002965EC">
              <w:rPr>
                <w:rFonts w:ascii="Arial" w:eastAsia="Times New Roman" w:hAnsi="Arial" w:cs="Arial"/>
                <w:b/>
                <w:bCs/>
                <w:color w:val="000000"/>
                <w:sz w:val="16"/>
                <w:szCs w:val="16"/>
                <w:lang w:eastAsia="en-ZA"/>
              </w:rPr>
              <w:t xml:space="preserve">No. of NSFAS Supported Students  at Public Universities (Undergraduate Students) </w:t>
            </w:r>
          </w:p>
        </w:tc>
      </w:tr>
      <w:tr w:rsidR="00240CD8" w:rsidRPr="002965EC" w14:paraId="4645A6C5" w14:textId="77777777" w:rsidTr="00E50BAE">
        <w:trPr>
          <w:trHeight w:val="300"/>
        </w:trPr>
        <w:tc>
          <w:tcPr>
            <w:tcW w:w="0" w:type="auto"/>
            <w:shd w:val="clear" w:color="auto" w:fill="auto"/>
            <w:noWrap/>
            <w:vAlign w:val="bottom"/>
            <w:hideMark/>
          </w:tcPr>
          <w:p w14:paraId="7D3284C2" w14:textId="77777777" w:rsidR="00240CD8" w:rsidRPr="002965EC" w:rsidRDefault="00240CD8" w:rsidP="006A7149">
            <w:pPr>
              <w:spacing w:after="0" w:line="240" w:lineRule="auto"/>
              <w:rPr>
                <w:rFonts w:ascii="Arial" w:eastAsia="Times New Roman" w:hAnsi="Arial" w:cs="Arial"/>
                <w:color w:val="000000"/>
                <w:sz w:val="16"/>
                <w:szCs w:val="16"/>
                <w:lang w:eastAsia="en-ZA"/>
              </w:rPr>
            </w:pPr>
            <w:r w:rsidRPr="002965EC">
              <w:rPr>
                <w:rFonts w:ascii="Arial" w:eastAsia="Times New Roman" w:hAnsi="Arial" w:cs="Arial"/>
                <w:color w:val="000000"/>
                <w:sz w:val="16"/>
                <w:szCs w:val="16"/>
                <w:lang w:eastAsia="en-ZA"/>
              </w:rPr>
              <w:t>Year</w:t>
            </w:r>
          </w:p>
        </w:tc>
        <w:tc>
          <w:tcPr>
            <w:tcW w:w="0" w:type="auto"/>
            <w:shd w:val="clear" w:color="auto" w:fill="auto"/>
            <w:noWrap/>
            <w:vAlign w:val="bottom"/>
            <w:hideMark/>
          </w:tcPr>
          <w:p w14:paraId="161BEF87" w14:textId="77777777" w:rsidR="00240CD8" w:rsidRPr="002965EC" w:rsidRDefault="00240CD8" w:rsidP="006A7149">
            <w:pPr>
              <w:spacing w:after="0" w:line="240" w:lineRule="auto"/>
              <w:jc w:val="right"/>
              <w:rPr>
                <w:rFonts w:ascii="Arial" w:eastAsia="Times New Roman" w:hAnsi="Arial" w:cs="Arial"/>
                <w:b/>
                <w:color w:val="000000"/>
                <w:sz w:val="16"/>
                <w:szCs w:val="16"/>
                <w:lang w:eastAsia="en-ZA"/>
              </w:rPr>
            </w:pPr>
            <w:r w:rsidRPr="002965EC">
              <w:rPr>
                <w:rFonts w:ascii="Arial" w:eastAsia="Times New Roman" w:hAnsi="Arial" w:cs="Arial"/>
                <w:b/>
                <w:color w:val="000000"/>
                <w:sz w:val="16"/>
                <w:szCs w:val="16"/>
                <w:lang w:eastAsia="en-ZA"/>
              </w:rPr>
              <w:t>2000</w:t>
            </w:r>
          </w:p>
        </w:tc>
        <w:tc>
          <w:tcPr>
            <w:tcW w:w="0" w:type="auto"/>
            <w:shd w:val="clear" w:color="auto" w:fill="auto"/>
            <w:noWrap/>
            <w:vAlign w:val="bottom"/>
            <w:hideMark/>
          </w:tcPr>
          <w:p w14:paraId="48C0DAFE" w14:textId="77777777" w:rsidR="00240CD8" w:rsidRPr="002965EC" w:rsidRDefault="00240CD8" w:rsidP="006A7149">
            <w:pPr>
              <w:spacing w:after="0" w:line="240" w:lineRule="auto"/>
              <w:jc w:val="right"/>
              <w:rPr>
                <w:rFonts w:ascii="Arial" w:eastAsia="Times New Roman" w:hAnsi="Arial" w:cs="Arial"/>
                <w:b/>
                <w:color w:val="000000"/>
                <w:sz w:val="16"/>
                <w:szCs w:val="16"/>
                <w:lang w:eastAsia="en-ZA"/>
              </w:rPr>
            </w:pPr>
            <w:r w:rsidRPr="002965EC">
              <w:rPr>
                <w:rFonts w:ascii="Arial" w:eastAsia="Times New Roman" w:hAnsi="Arial" w:cs="Arial"/>
                <w:b/>
                <w:color w:val="000000"/>
                <w:sz w:val="16"/>
                <w:szCs w:val="16"/>
                <w:lang w:eastAsia="en-ZA"/>
              </w:rPr>
              <w:t>2001</w:t>
            </w:r>
          </w:p>
        </w:tc>
        <w:tc>
          <w:tcPr>
            <w:tcW w:w="0" w:type="auto"/>
            <w:shd w:val="clear" w:color="auto" w:fill="auto"/>
            <w:noWrap/>
            <w:vAlign w:val="bottom"/>
            <w:hideMark/>
          </w:tcPr>
          <w:p w14:paraId="299E3105" w14:textId="77777777" w:rsidR="00240CD8" w:rsidRPr="002965EC" w:rsidRDefault="00240CD8" w:rsidP="006A7149">
            <w:pPr>
              <w:spacing w:after="0" w:line="240" w:lineRule="auto"/>
              <w:jc w:val="right"/>
              <w:rPr>
                <w:rFonts w:ascii="Arial" w:eastAsia="Times New Roman" w:hAnsi="Arial" w:cs="Arial"/>
                <w:b/>
                <w:color w:val="000000"/>
                <w:sz w:val="16"/>
                <w:szCs w:val="16"/>
                <w:lang w:eastAsia="en-ZA"/>
              </w:rPr>
            </w:pPr>
            <w:r w:rsidRPr="002965EC">
              <w:rPr>
                <w:rFonts w:ascii="Arial" w:eastAsia="Times New Roman" w:hAnsi="Arial" w:cs="Arial"/>
                <w:b/>
                <w:color w:val="000000"/>
                <w:sz w:val="16"/>
                <w:szCs w:val="16"/>
                <w:lang w:eastAsia="en-ZA"/>
              </w:rPr>
              <w:t>2002</w:t>
            </w:r>
          </w:p>
        </w:tc>
        <w:tc>
          <w:tcPr>
            <w:tcW w:w="0" w:type="auto"/>
            <w:shd w:val="clear" w:color="auto" w:fill="auto"/>
            <w:noWrap/>
            <w:vAlign w:val="bottom"/>
            <w:hideMark/>
          </w:tcPr>
          <w:p w14:paraId="34CB5220" w14:textId="77777777" w:rsidR="00240CD8" w:rsidRPr="002965EC" w:rsidRDefault="00240CD8" w:rsidP="006A7149">
            <w:pPr>
              <w:spacing w:after="0" w:line="240" w:lineRule="auto"/>
              <w:jc w:val="right"/>
              <w:rPr>
                <w:rFonts w:ascii="Arial" w:eastAsia="Times New Roman" w:hAnsi="Arial" w:cs="Arial"/>
                <w:b/>
                <w:color w:val="000000"/>
                <w:sz w:val="16"/>
                <w:szCs w:val="16"/>
                <w:lang w:eastAsia="en-ZA"/>
              </w:rPr>
            </w:pPr>
            <w:r w:rsidRPr="002965EC">
              <w:rPr>
                <w:rFonts w:ascii="Arial" w:eastAsia="Times New Roman" w:hAnsi="Arial" w:cs="Arial"/>
                <w:b/>
                <w:color w:val="000000"/>
                <w:sz w:val="16"/>
                <w:szCs w:val="16"/>
                <w:lang w:eastAsia="en-ZA"/>
              </w:rPr>
              <w:t>2003</w:t>
            </w:r>
          </w:p>
        </w:tc>
        <w:tc>
          <w:tcPr>
            <w:tcW w:w="0" w:type="auto"/>
            <w:shd w:val="clear" w:color="auto" w:fill="auto"/>
            <w:noWrap/>
            <w:vAlign w:val="bottom"/>
            <w:hideMark/>
          </w:tcPr>
          <w:p w14:paraId="771A7023" w14:textId="77777777" w:rsidR="00240CD8" w:rsidRPr="002965EC" w:rsidRDefault="00240CD8" w:rsidP="006A7149">
            <w:pPr>
              <w:spacing w:after="0" w:line="240" w:lineRule="auto"/>
              <w:jc w:val="right"/>
              <w:rPr>
                <w:rFonts w:ascii="Arial" w:eastAsia="Times New Roman" w:hAnsi="Arial" w:cs="Arial"/>
                <w:b/>
                <w:color w:val="000000"/>
                <w:sz w:val="16"/>
                <w:szCs w:val="16"/>
                <w:lang w:eastAsia="en-ZA"/>
              </w:rPr>
            </w:pPr>
            <w:r w:rsidRPr="002965EC">
              <w:rPr>
                <w:rFonts w:ascii="Arial" w:eastAsia="Times New Roman" w:hAnsi="Arial" w:cs="Arial"/>
                <w:b/>
                <w:color w:val="000000"/>
                <w:sz w:val="16"/>
                <w:szCs w:val="16"/>
                <w:lang w:eastAsia="en-ZA"/>
              </w:rPr>
              <w:t>2004</w:t>
            </w:r>
          </w:p>
        </w:tc>
        <w:tc>
          <w:tcPr>
            <w:tcW w:w="0" w:type="auto"/>
            <w:shd w:val="clear" w:color="auto" w:fill="auto"/>
            <w:noWrap/>
            <w:vAlign w:val="bottom"/>
            <w:hideMark/>
          </w:tcPr>
          <w:p w14:paraId="4C4CD8BD" w14:textId="77777777" w:rsidR="00240CD8" w:rsidRPr="002965EC" w:rsidRDefault="00240CD8" w:rsidP="006A7149">
            <w:pPr>
              <w:spacing w:after="0" w:line="240" w:lineRule="auto"/>
              <w:jc w:val="right"/>
              <w:rPr>
                <w:rFonts w:ascii="Arial" w:eastAsia="Times New Roman" w:hAnsi="Arial" w:cs="Arial"/>
                <w:b/>
                <w:color w:val="000000"/>
                <w:sz w:val="16"/>
                <w:szCs w:val="16"/>
                <w:lang w:eastAsia="en-ZA"/>
              </w:rPr>
            </w:pPr>
            <w:r w:rsidRPr="002965EC">
              <w:rPr>
                <w:rFonts w:ascii="Arial" w:eastAsia="Times New Roman" w:hAnsi="Arial" w:cs="Arial"/>
                <w:b/>
                <w:color w:val="000000"/>
                <w:sz w:val="16"/>
                <w:szCs w:val="16"/>
                <w:lang w:eastAsia="en-ZA"/>
              </w:rPr>
              <w:t>2005</w:t>
            </w:r>
          </w:p>
        </w:tc>
        <w:tc>
          <w:tcPr>
            <w:tcW w:w="0" w:type="auto"/>
            <w:shd w:val="clear" w:color="auto" w:fill="auto"/>
            <w:noWrap/>
            <w:vAlign w:val="bottom"/>
            <w:hideMark/>
          </w:tcPr>
          <w:p w14:paraId="3B23A566" w14:textId="77777777" w:rsidR="00240CD8" w:rsidRPr="002965EC" w:rsidRDefault="00240CD8" w:rsidP="006A7149">
            <w:pPr>
              <w:spacing w:after="0" w:line="240" w:lineRule="auto"/>
              <w:jc w:val="right"/>
              <w:rPr>
                <w:rFonts w:ascii="Arial" w:eastAsia="Times New Roman" w:hAnsi="Arial" w:cs="Arial"/>
                <w:b/>
                <w:color w:val="000000"/>
                <w:sz w:val="16"/>
                <w:szCs w:val="16"/>
                <w:lang w:eastAsia="en-ZA"/>
              </w:rPr>
            </w:pPr>
            <w:r w:rsidRPr="002965EC">
              <w:rPr>
                <w:rFonts w:ascii="Arial" w:eastAsia="Times New Roman" w:hAnsi="Arial" w:cs="Arial"/>
                <w:b/>
                <w:color w:val="000000"/>
                <w:sz w:val="16"/>
                <w:szCs w:val="16"/>
                <w:lang w:eastAsia="en-ZA"/>
              </w:rPr>
              <w:t>2006</w:t>
            </w:r>
          </w:p>
        </w:tc>
        <w:tc>
          <w:tcPr>
            <w:tcW w:w="0" w:type="auto"/>
            <w:shd w:val="clear" w:color="auto" w:fill="auto"/>
            <w:noWrap/>
            <w:vAlign w:val="bottom"/>
            <w:hideMark/>
          </w:tcPr>
          <w:p w14:paraId="618D129E" w14:textId="77777777" w:rsidR="00240CD8" w:rsidRPr="002965EC" w:rsidRDefault="00240CD8" w:rsidP="006A7149">
            <w:pPr>
              <w:spacing w:after="0" w:line="240" w:lineRule="auto"/>
              <w:jc w:val="right"/>
              <w:rPr>
                <w:rFonts w:ascii="Arial" w:eastAsia="Times New Roman" w:hAnsi="Arial" w:cs="Arial"/>
                <w:b/>
                <w:color w:val="000000"/>
                <w:sz w:val="16"/>
                <w:szCs w:val="16"/>
                <w:lang w:eastAsia="en-ZA"/>
              </w:rPr>
            </w:pPr>
            <w:r w:rsidRPr="002965EC">
              <w:rPr>
                <w:rFonts w:ascii="Arial" w:eastAsia="Times New Roman" w:hAnsi="Arial" w:cs="Arial"/>
                <w:b/>
                <w:color w:val="000000"/>
                <w:sz w:val="16"/>
                <w:szCs w:val="16"/>
                <w:lang w:eastAsia="en-ZA"/>
              </w:rPr>
              <w:t>2007</w:t>
            </w:r>
          </w:p>
        </w:tc>
        <w:tc>
          <w:tcPr>
            <w:tcW w:w="0" w:type="auto"/>
            <w:shd w:val="clear" w:color="auto" w:fill="auto"/>
            <w:noWrap/>
            <w:vAlign w:val="bottom"/>
            <w:hideMark/>
          </w:tcPr>
          <w:p w14:paraId="7C102C0F" w14:textId="77777777" w:rsidR="00240CD8" w:rsidRPr="002965EC" w:rsidRDefault="00240CD8" w:rsidP="006A7149">
            <w:pPr>
              <w:spacing w:after="0" w:line="240" w:lineRule="auto"/>
              <w:jc w:val="right"/>
              <w:rPr>
                <w:rFonts w:ascii="Arial" w:eastAsia="Times New Roman" w:hAnsi="Arial" w:cs="Arial"/>
                <w:b/>
                <w:color w:val="000000"/>
                <w:sz w:val="16"/>
                <w:szCs w:val="16"/>
                <w:lang w:eastAsia="en-ZA"/>
              </w:rPr>
            </w:pPr>
            <w:r w:rsidRPr="002965EC">
              <w:rPr>
                <w:rFonts w:ascii="Arial" w:eastAsia="Times New Roman" w:hAnsi="Arial" w:cs="Arial"/>
                <w:b/>
                <w:color w:val="000000"/>
                <w:sz w:val="16"/>
                <w:szCs w:val="16"/>
                <w:lang w:eastAsia="en-ZA"/>
              </w:rPr>
              <w:t>2008</w:t>
            </w:r>
          </w:p>
        </w:tc>
        <w:tc>
          <w:tcPr>
            <w:tcW w:w="0" w:type="auto"/>
            <w:shd w:val="clear" w:color="auto" w:fill="auto"/>
            <w:noWrap/>
            <w:vAlign w:val="bottom"/>
            <w:hideMark/>
          </w:tcPr>
          <w:p w14:paraId="13773489" w14:textId="77777777" w:rsidR="00240CD8" w:rsidRPr="002965EC" w:rsidRDefault="00240CD8" w:rsidP="006A7149">
            <w:pPr>
              <w:spacing w:after="0" w:line="240" w:lineRule="auto"/>
              <w:jc w:val="right"/>
              <w:rPr>
                <w:rFonts w:ascii="Arial" w:eastAsia="Times New Roman" w:hAnsi="Arial" w:cs="Arial"/>
                <w:b/>
                <w:color w:val="000000"/>
                <w:sz w:val="16"/>
                <w:szCs w:val="16"/>
                <w:lang w:eastAsia="en-ZA"/>
              </w:rPr>
            </w:pPr>
            <w:r w:rsidRPr="002965EC">
              <w:rPr>
                <w:rFonts w:ascii="Arial" w:eastAsia="Times New Roman" w:hAnsi="Arial" w:cs="Arial"/>
                <w:b/>
                <w:color w:val="000000"/>
                <w:sz w:val="16"/>
                <w:szCs w:val="16"/>
                <w:lang w:eastAsia="en-ZA"/>
              </w:rPr>
              <w:t>2009</w:t>
            </w:r>
          </w:p>
        </w:tc>
        <w:tc>
          <w:tcPr>
            <w:tcW w:w="0" w:type="auto"/>
            <w:shd w:val="clear" w:color="auto" w:fill="auto"/>
            <w:noWrap/>
            <w:vAlign w:val="bottom"/>
            <w:hideMark/>
          </w:tcPr>
          <w:p w14:paraId="5F2733A0" w14:textId="77777777" w:rsidR="00240CD8" w:rsidRPr="002965EC" w:rsidRDefault="00240CD8" w:rsidP="006A7149">
            <w:pPr>
              <w:spacing w:after="0" w:line="240" w:lineRule="auto"/>
              <w:jc w:val="right"/>
              <w:rPr>
                <w:rFonts w:ascii="Arial" w:eastAsia="Times New Roman" w:hAnsi="Arial" w:cs="Arial"/>
                <w:b/>
                <w:color w:val="000000"/>
                <w:sz w:val="16"/>
                <w:szCs w:val="16"/>
                <w:lang w:eastAsia="en-ZA"/>
              </w:rPr>
            </w:pPr>
            <w:r w:rsidRPr="002965EC">
              <w:rPr>
                <w:rFonts w:ascii="Arial" w:eastAsia="Times New Roman" w:hAnsi="Arial" w:cs="Arial"/>
                <w:b/>
                <w:color w:val="000000"/>
                <w:sz w:val="16"/>
                <w:szCs w:val="16"/>
                <w:lang w:eastAsia="en-ZA"/>
              </w:rPr>
              <w:t>2010</w:t>
            </w:r>
          </w:p>
        </w:tc>
        <w:tc>
          <w:tcPr>
            <w:tcW w:w="0" w:type="auto"/>
            <w:shd w:val="clear" w:color="auto" w:fill="auto"/>
            <w:noWrap/>
            <w:vAlign w:val="bottom"/>
            <w:hideMark/>
          </w:tcPr>
          <w:p w14:paraId="7DF46261" w14:textId="77777777" w:rsidR="00240CD8" w:rsidRPr="002965EC" w:rsidRDefault="00240CD8" w:rsidP="006A7149">
            <w:pPr>
              <w:spacing w:after="0" w:line="240" w:lineRule="auto"/>
              <w:jc w:val="right"/>
              <w:rPr>
                <w:rFonts w:ascii="Arial" w:eastAsia="Times New Roman" w:hAnsi="Arial" w:cs="Arial"/>
                <w:b/>
                <w:color w:val="000000"/>
                <w:sz w:val="16"/>
                <w:szCs w:val="16"/>
                <w:lang w:eastAsia="en-ZA"/>
              </w:rPr>
            </w:pPr>
            <w:r w:rsidRPr="002965EC">
              <w:rPr>
                <w:rFonts w:ascii="Arial" w:eastAsia="Times New Roman" w:hAnsi="Arial" w:cs="Arial"/>
                <w:b/>
                <w:color w:val="000000"/>
                <w:sz w:val="16"/>
                <w:szCs w:val="16"/>
                <w:lang w:eastAsia="en-ZA"/>
              </w:rPr>
              <w:t>2011</w:t>
            </w:r>
          </w:p>
        </w:tc>
        <w:tc>
          <w:tcPr>
            <w:tcW w:w="0" w:type="auto"/>
            <w:shd w:val="clear" w:color="auto" w:fill="auto"/>
            <w:noWrap/>
            <w:vAlign w:val="bottom"/>
            <w:hideMark/>
          </w:tcPr>
          <w:p w14:paraId="236F1A9A" w14:textId="77777777" w:rsidR="00240CD8" w:rsidRPr="002965EC" w:rsidRDefault="00240CD8" w:rsidP="006A7149">
            <w:pPr>
              <w:spacing w:after="0" w:line="240" w:lineRule="auto"/>
              <w:jc w:val="right"/>
              <w:rPr>
                <w:rFonts w:ascii="Arial" w:eastAsia="Times New Roman" w:hAnsi="Arial" w:cs="Arial"/>
                <w:b/>
                <w:color w:val="000000"/>
                <w:sz w:val="16"/>
                <w:szCs w:val="16"/>
                <w:lang w:eastAsia="en-ZA"/>
              </w:rPr>
            </w:pPr>
            <w:r w:rsidRPr="002965EC">
              <w:rPr>
                <w:rFonts w:ascii="Arial" w:eastAsia="Times New Roman" w:hAnsi="Arial" w:cs="Arial"/>
                <w:b/>
                <w:color w:val="000000"/>
                <w:sz w:val="16"/>
                <w:szCs w:val="16"/>
                <w:lang w:eastAsia="en-ZA"/>
              </w:rPr>
              <w:t>2012</w:t>
            </w:r>
          </w:p>
        </w:tc>
        <w:tc>
          <w:tcPr>
            <w:tcW w:w="0" w:type="auto"/>
            <w:shd w:val="clear" w:color="auto" w:fill="auto"/>
            <w:noWrap/>
            <w:vAlign w:val="bottom"/>
            <w:hideMark/>
          </w:tcPr>
          <w:p w14:paraId="785C470E" w14:textId="77777777" w:rsidR="00240CD8" w:rsidRPr="002965EC" w:rsidRDefault="00240CD8" w:rsidP="006A7149">
            <w:pPr>
              <w:spacing w:after="0" w:line="240" w:lineRule="auto"/>
              <w:jc w:val="right"/>
              <w:rPr>
                <w:rFonts w:ascii="Arial" w:eastAsia="Times New Roman" w:hAnsi="Arial" w:cs="Arial"/>
                <w:b/>
                <w:color w:val="000000"/>
                <w:sz w:val="16"/>
                <w:szCs w:val="16"/>
                <w:lang w:eastAsia="en-ZA"/>
              </w:rPr>
            </w:pPr>
            <w:r w:rsidRPr="002965EC">
              <w:rPr>
                <w:rFonts w:ascii="Arial" w:eastAsia="Times New Roman" w:hAnsi="Arial" w:cs="Arial"/>
                <w:b/>
                <w:color w:val="000000"/>
                <w:sz w:val="16"/>
                <w:szCs w:val="16"/>
                <w:lang w:eastAsia="en-ZA"/>
              </w:rPr>
              <w:t>2013</w:t>
            </w:r>
          </w:p>
        </w:tc>
        <w:tc>
          <w:tcPr>
            <w:tcW w:w="0" w:type="auto"/>
            <w:shd w:val="clear" w:color="auto" w:fill="auto"/>
            <w:noWrap/>
            <w:vAlign w:val="bottom"/>
            <w:hideMark/>
          </w:tcPr>
          <w:p w14:paraId="071EDE5F" w14:textId="77777777" w:rsidR="00240CD8" w:rsidRPr="002965EC" w:rsidRDefault="00240CD8" w:rsidP="006A7149">
            <w:pPr>
              <w:spacing w:after="0" w:line="240" w:lineRule="auto"/>
              <w:jc w:val="right"/>
              <w:rPr>
                <w:rFonts w:ascii="Arial" w:eastAsia="Times New Roman" w:hAnsi="Arial" w:cs="Arial"/>
                <w:b/>
                <w:color w:val="000000"/>
                <w:sz w:val="16"/>
                <w:szCs w:val="16"/>
                <w:lang w:eastAsia="en-ZA"/>
              </w:rPr>
            </w:pPr>
            <w:r w:rsidRPr="002965EC">
              <w:rPr>
                <w:rFonts w:ascii="Arial" w:eastAsia="Times New Roman" w:hAnsi="Arial" w:cs="Arial"/>
                <w:b/>
                <w:color w:val="000000"/>
                <w:sz w:val="16"/>
                <w:szCs w:val="16"/>
                <w:lang w:eastAsia="en-ZA"/>
              </w:rPr>
              <w:t>2014</w:t>
            </w:r>
          </w:p>
        </w:tc>
      </w:tr>
      <w:tr w:rsidR="00240CD8" w:rsidRPr="002965EC" w14:paraId="3CF94288" w14:textId="77777777" w:rsidTr="00E50BAE">
        <w:trPr>
          <w:trHeight w:val="300"/>
        </w:trPr>
        <w:tc>
          <w:tcPr>
            <w:tcW w:w="0" w:type="auto"/>
            <w:shd w:val="clear" w:color="auto" w:fill="auto"/>
            <w:noWrap/>
            <w:vAlign w:val="bottom"/>
            <w:hideMark/>
          </w:tcPr>
          <w:p w14:paraId="791BBF9C" w14:textId="77777777" w:rsidR="00240CD8" w:rsidRPr="00E50BAE" w:rsidRDefault="00240CD8" w:rsidP="006A7149">
            <w:pPr>
              <w:spacing w:after="0" w:line="240" w:lineRule="auto"/>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 xml:space="preserve">Male </w:t>
            </w:r>
          </w:p>
        </w:tc>
        <w:tc>
          <w:tcPr>
            <w:tcW w:w="0" w:type="auto"/>
            <w:shd w:val="clear" w:color="auto" w:fill="auto"/>
            <w:noWrap/>
            <w:vAlign w:val="bottom"/>
            <w:hideMark/>
          </w:tcPr>
          <w:p w14:paraId="3892C107"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36630</w:t>
            </w:r>
          </w:p>
        </w:tc>
        <w:tc>
          <w:tcPr>
            <w:tcW w:w="0" w:type="auto"/>
            <w:shd w:val="clear" w:color="auto" w:fill="auto"/>
            <w:noWrap/>
            <w:vAlign w:val="bottom"/>
            <w:hideMark/>
          </w:tcPr>
          <w:p w14:paraId="7103FF09"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36271</w:t>
            </w:r>
          </w:p>
        </w:tc>
        <w:tc>
          <w:tcPr>
            <w:tcW w:w="0" w:type="auto"/>
            <w:shd w:val="clear" w:color="auto" w:fill="auto"/>
            <w:noWrap/>
            <w:vAlign w:val="bottom"/>
            <w:hideMark/>
          </w:tcPr>
          <w:p w14:paraId="415BDFC6"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38766</w:t>
            </w:r>
          </w:p>
        </w:tc>
        <w:tc>
          <w:tcPr>
            <w:tcW w:w="0" w:type="auto"/>
            <w:shd w:val="clear" w:color="auto" w:fill="auto"/>
            <w:noWrap/>
            <w:vAlign w:val="bottom"/>
            <w:hideMark/>
          </w:tcPr>
          <w:p w14:paraId="7CA49128"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44414</w:t>
            </w:r>
          </w:p>
        </w:tc>
        <w:tc>
          <w:tcPr>
            <w:tcW w:w="0" w:type="auto"/>
            <w:shd w:val="clear" w:color="auto" w:fill="auto"/>
            <w:noWrap/>
            <w:vAlign w:val="bottom"/>
            <w:hideMark/>
          </w:tcPr>
          <w:p w14:paraId="5061B0C1"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45454</w:t>
            </w:r>
          </w:p>
        </w:tc>
        <w:tc>
          <w:tcPr>
            <w:tcW w:w="0" w:type="auto"/>
            <w:shd w:val="clear" w:color="auto" w:fill="auto"/>
            <w:noWrap/>
            <w:vAlign w:val="bottom"/>
            <w:hideMark/>
          </w:tcPr>
          <w:p w14:paraId="4EC6B474"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48083</w:t>
            </w:r>
          </w:p>
        </w:tc>
        <w:tc>
          <w:tcPr>
            <w:tcW w:w="0" w:type="auto"/>
            <w:shd w:val="clear" w:color="auto" w:fill="auto"/>
            <w:noWrap/>
            <w:vAlign w:val="bottom"/>
            <w:hideMark/>
          </w:tcPr>
          <w:p w14:paraId="3805A5E6"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48787</w:t>
            </w:r>
          </w:p>
        </w:tc>
        <w:tc>
          <w:tcPr>
            <w:tcW w:w="0" w:type="auto"/>
            <w:shd w:val="clear" w:color="auto" w:fill="auto"/>
            <w:noWrap/>
            <w:vAlign w:val="bottom"/>
            <w:hideMark/>
          </w:tcPr>
          <w:p w14:paraId="4BBA47A3"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49991</w:t>
            </w:r>
          </w:p>
        </w:tc>
        <w:tc>
          <w:tcPr>
            <w:tcW w:w="0" w:type="auto"/>
            <w:shd w:val="clear" w:color="auto" w:fill="auto"/>
            <w:noWrap/>
            <w:vAlign w:val="bottom"/>
            <w:hideMark/>
          </w:tcPr>
          <w:p w14:paraId="445B254F"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50639</w:t>
            </w:r>
          </w:p>
        </w:tc>
        <w:tc>
          <w:tcPr>
            <w:tcW w:w="0" w:type="auto"/>
            <w:shd w:val="clear" w:color="auto" w:fill="auto"/>
            <w:noWrap/>
            <w:vAlign w:val="bottom"/>
            <w:hideMark/>
          </w:tcPr>
          <w:p w14:paraId="77B33385"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56785</w:t>
            </w:r>
          </w:p>
        </w:tc>
        <w:tc>
          <w:tcPr>
            <w:tcW w:w="0" w:type="auto"/>
            <w:shd w:val="clear" w:color="auto" w:fill="auto"/>
            <w:noWrap/>
            <w:vAlign w:val="bottom"/>
            <w:hideMark/>
          </w:tcPr>
          <w:p w14:paraId="30CC5DC5"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60839</w:t>
            </w:r>
          </w:p>
        </w:tc>
        <w:tc>
          <w:tcPr>
            <w:tcW w:w="0" w:type="auto"/>
            <w:shd w:val="clear" w:color="auto" w:fill="auto"/>
            <w:noWrap/>
            <w:vAlign w:val="bottom"/>
            <w:hideMark/>
          </w:tcPr>
          <w:p w14:paraId="2B360A23"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57903</w:t>
            </w:r>
          </w:p>
        </w:tc>
        <w:tc>
          <w:tcPr>
            <w:tcW w:w="0" w:type="auto"/>
            <w:shd w:val="clear" w:color="auto" w:fill="auto"/>
            <w:noWrap/>
            <w:vAlign w:val="bottom"/>
            <w:hideMark/>
          </w:tcPr>
          <w:p w14:paraId="532FA3B3"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77802</w:t>
            </w:r>
          </w:p>
        </w:tc>
        <w:tc>
          <w:tcPr>
            <w:tcW w:w="0" w:type="auto"/>
            <w:shd w:val="clear" w:color="auto" w:fill="auto"/>
            <w:noWrap/>
            <w:vAlign w:val="bottom"/>
            <w:hideMark/>
          </w:tcPr>
          <w:p w14:paraId="65A7F2B3"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77969</w:t>
            </w:r>
          </w:p>
        </w:tc>
        <w:tc>
          <w:tcPr>
            <w:tcW w:w="0" w:type="auto"/>
            <w:shd w:val="clear" w:color="auto" w:fill="auto"/>
            <w:noWrap/>
            <w:vAlign w:val="bottom"/>
            <w:hideMark/>
          </w:tcPr>
          <w:p w14:paraId="7716B3B6"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76322</w:t>
            </w:r>
          </w:p>
        </w:tc>
      </w:tr>
      <w:tr w:rsidR="00240CD8" w:rsidRPr="002965EC" w14:paraId="56C60FE2" w14:textId="77777777" w:rsidTr="00E50BAE">
        <w:trPr>
          <w:trHeight w:val="300"/>
        </w:trPr>
        <w:tc>
          <w:tcPr>
            <w:tcW w:w="0" w:type="auto"/>
            <w:shd w:val="clear" w:color="auto" w:fill="auto"/>
            <w:noWrap/>
            <w:vAlign w:val="bottom"/>
            <w:hideMark/>
          </w:tcPr>
          <w:p w14:paraId="417A2729" w14:textId="77777777" w:rsidR="00240CD8" w:rsidRPr="00E50BAE" w:rsidRDefault="00240CD8" w:rsidP="006A7149">
            <w:pPr>
              <w:spacing w:after="0" w:line="240" w:lineRule="auto"/>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Female</w:t>
            </w:r>
          </w:p>
        </w:tc>
        <w:tc>
          <w:tcPr>
            <w:tcW w:w="0" w:type="auto"/>
            <w:shd w:val="clear" w:color="auto" w:fill="auto"/>
            <w:noWrap/>
            <w:vAlign w:val="bottom"/>
            <w:hideMark/>
          </w:tcPr>
          <w:p w14:paraId="063D1BE0"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46621</w:t>
            </w:r>
          </w:p>
        </w:tc>
        <w:tc>
          <w:tcPr>
            <w:tcW w:w="0" w:type="auto"/>
            <w:shd w:val="clear" w:color="auto" w:fill="auto"/>
            <w:noWrap/>
            <w:vAlign w:val="bottom"/>
            <w:hideMark/>
          </w:tcPr>
          <w:p w14:paraId="71631AE4"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44332</w:t>
            </w:r>
          </w:p>
        </w:tc>
        <w:tc>
          <w:tcPr>
            <w:tcW w:w="0" w:type="auto"/>
            <w:shd w:val="clear" w:color="auto" w:fill="auto"/>
            <w:noWrap/>
            <w:vAlign w:val="bottom"/>
            <w:hideMark/>
          </w:tcPr>
          <w:p w14:paraId="020B97B7"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47381</w:t>
            </w:r>
          </w:p>
        </w:tc>
        <w:tc>
          <w:tcPr>
            <w:tcW w:w="0" w:type="auto"/>
            <w:shd w:val="clear" w:color="auto" w:fill="auto"/>
            <w:noWrap/>
            <w:vAlign w:val="bottom"/>
            <w:hideMark/>
          </w:tcPr>
          <w:p w14:paraId="11C7F6C3"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52138</w:t>
            </w:r>
          </w:p>
        </w:tc>
        <w:tc>
          <w:tcPr>
            <w:tcW w:w="0" w:type="auto"/>
            <w:shd w:val="clear" w:color="auto" w:fill="auto"/>
            <w:noWrap/>
            <w:vAlign w:val="bottom"/>
            <w:hideMark/>
          </w:tcPr>
          <w:p w14:paraId="3F5261EC"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53359</w:t>
            </w:r>
          </w:p>
        </w:tc>
        <w:tc>
          <w:tcPr>
            <w:tcW w:w="0" w:type="auto"/>
            <w:shd w:val="clear" w:color="auto" w:fill="auto"/>
            <w:noWrap/>
            <w:vAlign w:val="bottom"/>
            <w:hideMark/>
          </w:tcPr>
          <w:p w14:paraId="5683655D"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58769</w:t>
            </w:r>
          </w:p>
        </w:tc>
        <w:tc>
          <w:tcPr>
            <w:tcW w:w="0" w:type="auto"/>
            <w:shd w:val="clear" w:color="auto" w:fill="auto"/>
            <w:noWrap/>
            <w:vAlign w:val="bottom"/>
            <w:hideMark/>
          </w:tcPr>
          <w:p w14:paraId="09D47755"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59629</w:t>
            </w:r>
          </w:p>
        </w:tc>
        <w:tc>
          <w:tcPr>
            <w:tcW w:w="0" w:type="auto"/>
            <w:shd w:val="clear" w:color="auto" w:fill="auto"/>
            <w:noWrap/>
            <w:vAlign w:val="bottom"/>
            <w:hideMark/>
          </w:tcPr>
          <w:p w14:paraId="36F2A37D"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63625</w:t>
            </w:r>
          </w:p>
        </w:tc>
        <w:tc>
          <w:tcPr>
            <w:tcW w:w="0" w:type="auto"/>
            <w:shd w:val="clear" w:color="auto" w:fill="auto"/>
            <w:noWrap/>
            <w:vAlign w:val="bottom"/>
            <w:hideMark/>
          </w:tcPr>
          <w:p w14:paraId="1576C150"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67127</w:t>
            </w:r>
          </w:p>
        </w:tc>
        <w:tc>
          <w:tcPr>
            <w:tcW w:w="0" w:type="auto"/>
            <w:shd w:val="clear" w:color="auto" w:fill="auto"/>
            <w:noWrap/>
            <w:vAlign w:val="bottom"/>
            <w:hideMark/>
          </w:tcPr>
          <w:p w14:paraId="07E2D7CF"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78417</w:t>
            </w:r>
          </w:p>
        </w:tc>
        <w:tc>
          <w:tcPr>
            <w:tcW w:w="0" w:type="auto"/>
            <w:shd w:val="clear" w:color="auto" w:fill="auto"/>
            <w:noWrap/>
            <w:vAlign w:val="bottom"/>
            <w:hideMark/>
          </w:tcPr>
          <w:p w14:paraId="247DC717"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87548</w:t>
            </w:r>
          </w:p>
        </w:tc>
        <w:tc>
          <w:tcPr>
            <w:tcW w:w="0" w:type="auto"/>
            <w:shd w:val="clear" w:color="auto" w:fill="auto"/>
            <w:noWrap/>
            <w:vAlign w:val="bottom"/>
            <w:hideMark/>
          </w:tcPr>
          <w:p w14:paraId="084B7B40"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86854</w:t>
            </w:r>
          </w:p>
        </w:tc>
        <w:tc>
          <w:tcPr>
            <w:tcW w:w="0" w:type="auto"/>
            <w:shd w:val="clear" w:color="auto" w:fill="auto"/>
            <w:noWrap/>
            <w:vAlign w:val="bottom"/>
            <w:hideMark/>
          </w:tcPr>
          <w:p w14:paraId="52C3FB13"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116702</w:t>
            </w:r>
          </w:p>
        </w:tc>
        <w:tc>
          <w:tcPr>
            <w:tcW w:w="0" w:type="auto"/>
            <w:shd w:val="clear" w:color="auto" w:fill="auto"/>
            <w:noWrap/>
            <w:vAlign w:val="bottom"/>
            <w:hideMark/>
          </w:tcPr>
          <w:p w14:paraId="4383E3EA"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116954</w:t>
            </w:r>
          </w:p>
        </w:tc>
        <w:tc>
          <w:tcPr>
            <w:tcW w:w="0" w:type="auto"/>
            <w:shd w:val="clear" w:color="auto" w:fill="auto"/>
            <w:noWrap/>
            <w:vAlign w:val="bottom"/>
            <w:hideMark/>
          </w:tcPr>
          <w:p w14:paraId="35CB63F2" w14:textId="77777777" w:rsidR="00240CD8" w:rsidRPr="00E50BAE" w:rsidRDefault="00240CD8" w:rsidP="006A7149">
            <w:pPr>
              <w:spacing w:after="0" w:line="240" w:lineRule="auto"/>
              <w:jc w:val="right"/>
              <w:rPr>
                <w:rFonts w:ascii="Arial" w:eastAsia="Times New Roman" w:hAnsi="Arial" w:cs="Arial"/>
                <w:color w:val="000000"/>
                <w:sz w:val="12"/>
                <w:szCs w:val="12"/>
                <w:lang w:eastAsia="en-ZA"/>
              </w:rPr>
            </w:pPr>
            <w:r w:rsidRPr="00E50BAE">
              <w:rPr>
                <w:rFonts w:ascii="Arial" w:eastAsia="Times New Roman" w:hAnsi="Arial" w:cs="Arial"/>
                <w:color w:val="000000"/>
                <w:sz w:val="12"/>
                <w:szCs w:val="12"/>
                <w:lang w:eastAsia="en-ZA"/>
              </w:rPr>
              <w:t>109829</w:t>
            </w:r>
          </w:p>
        </w:tc>
      </w:tr>
    </w:tbl>
    <w:p w14:paraId="172DC596" w14:textId="77777777" w:rsidR="00AC1543" w:rsidRDefault="00AC1543" w:rsidP="00240CD8">
      <w:pPr>
        <w:tabs>
          <w:tab w:val="left" w:pos="426"/>
        </w:tabs>
        <w:spacing w:after="0" w:line="240" w:lineRule="auto"/>
        <w:ind w:right="-193"/>
        <w:rPr>
          <w:rFonts w:ascii="Arial" w:eastAsia="Times New Roman" w:hAnsi="Arial" w:cs="Arial"/>
          <w:b/>
          <w:bCs/>
          <w:color w:val="000000"/>
          <w:sz w:val="16"/>
          <w:szCs w:val="16"/>
          <w:lang w:eastAsia="en-ZA"/>
        </w:rPr>
      </w:pPr>
    </w:p>
    <w:p w14:paraId="075C2A32" w14:textId="77777777" w:rsidR="00240CD8" w:rsidRPr="002965EC" w:rsidRDefault="00240CD8" w:rsidP="00240CD8">
      <w:pPr>
        <w:tabs>
          <w:tab w:val="left" w:pos="426"/>
        </w:tabs>
        <w:spacing w:after="0" w:line="240" w:lineRule="auto"/>
        <w:ind w:right="-193"/>
        <w:rPr>
          <w:rFonts w:ascii="Arial" w:eastAsia="Times New Roman" w:hAnsi="Arial" w:cs="Arial"/>
          <w:szCs w:val="24"/>
          <w:lang w:eastAsia="en-ZA"/>
        </w:rPr>
      </w:pPr>
      <w:r w:rsidRPr="002965EC">
        <w:rPr>
          <w:rFonts w:ascii="Arial" w:eastAsia="Times New Roman" w:hAnsi="Arial" w:cs="Arial"/>
          <w:b/>
          <w:bCs/>
          <w:color w:val="000000"/>
          <w:sz w:val="16"/>
          <w:szCs w:val="16"/>
          <w:lang w:eastAsia="en-ZA"/>
        </w:rPr>
        <w:t>Source: Investment Trends in Post Education and Training in South Africa, March 2018</w:t>
      </w:r>
    </w:p>
    <w:p w14:paraId="75CB7283" w14:textId="77777777" w:rsidR="00240CD8" w:rsidRPr="002965EC" w:rsidRDefault="00240CD8" w:rsidP="00240CD8">
      <w:pPr>
        <w:tabs>
          <w:tab w:val="left" w:pos="426"/>
        </w:tabs>
        <w:spacing w:after="0" w:line="240" w:lineRule="auto"/>
        <w:ind w:right="-193"/>
        <w:rPr>
          <w:rFonts w:ascii="Arial" w:eastAsia="Times New Roman" w:hAnsi="Arial" w:cs="Arial"/>
          <w:szCs w:val="24"/>
          <w:lang w:eastAsia="en-ZA"/>
        </w:rPr>
      </w:pPr>
    </w:p>
    <w:p w14:paraId="18F50E31" w14:textId="77777777" w:rsidR="00240CD8" w:rsidRPr="002965EC" w:rsidRDefault="00240CD8" w:rsidP="00240CD8">
      <w:pPr>
        <w:tabs>
          <w:tab w:val="left" w:pos="426"/>
        </w:tabs>
        <w:spacing w:after="0" w:line="240" w:lineRule="auto"/>
        <w:ind w:right="-193"/>
        <w:rPr>
          <w:rFonts w:ascii="Arial" w:eastAsia="Times New Roman" w:hAnsi="Arial" w:cs="Arial"/>
          <w:szCs w:val="24"/>
          <w:lang w:eastAsia="en-ZA"/>
        </w:rPr>
      </w:pPr>
    </w:p>
    <w:p w14:paraId="0C2E385C" w14:textId="77777777" w:rsidR="00240CD8" w:rsidRPr="002965EC" w:rsidRDefault="00240CD8" w:rsidP="00240CD8">
      <w:pPr>
        <w:tabs>
          <w:tab w:val="left" w:pos="426"/>
        </w:tabs>
        <w:spacing w:after="0" w:line="240" w:lineRule="auto"/>
        <w:ind w:right="-193"/>
        <w:rPr>
          <w:rFonts w:ascii="Arial" w:eastAsia="Times New Roman" w:hAnsi="Arial" w:cs="Arial"/>
          <w:szCs w:val="24"/>
          <w:lang w:eastAsia="en-ZA"/>
        </w:rPr>
      </w:pPr>
      <w:r w:rsidRPr="002965EC">
        <w:rPr>
          <w:rFonts w:ascii="Arial" w:eastAsia="Calibri" w:hAnsi="Arial" w:cs="Arial"/>
          <w:noProof/>
          <w:lang w:val="en-ZA" w:eastAsia="en-ZA"/>
        </w:rPr>
        <w:drawing>
          <wp:inline distT="0" distB="0" distL="0" distR="0" wp14:anchorId="15F67938" wp14:editId="2B95210D">
            <wp:extent cx="5931673" cy="2743200"/>
            <wp:effectExtent l="0" t="0" r="1206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34CAA1" w14:textId="77777777" w:rsidR="00240CD8" w:rsidRPr="002965EC" w:rsidRDefault="00240CD8" w:rsidP="00240CD8">
      <w:pPr>
        <w:tabs>
          <w:tab w:val="left" w:pos="426"/>
        </w:tabs>
        <w:spacing w:after="0" w:line="240" w:lineRule="auto"/>
        <w:ind w:right="-193"/>
        <w:rPr>
          <w:rFonts w:ascii="Arial" w:eastAsia="Times New Roman" w:hAnsi="Arial" w:cs="Arial"/>
          <w:szCs w:val="24"/>
          <w:lang w:eastAsia="en-ZA"/>
        </w:rPr>
      </w:pPr>
    </w:p>
    <w:p w14:paraId="584E7EF1" w14:textId="77777777" w:rsidR="00240CD8" w:rsidRPr="002965EC" w:rsidRDefault="00240CD8" w:rsidP="00240CD8">
      <w:pPr>
        <w:tabs>
          <w:tab w:val="left" w:pos="426"/>
        </w:tabs>
        <w:spacing w:after="0" w:line="240" w:lineRule="auto"/>
        <w:ind w:right="-193"/>
        <w:rPr>
          <w:rFonts w:ascii="Arial" w:eastAsia="Times New Roman" w:hAnsi="Arial" w:cs="Arial"/>
          <w:szCs w:val="24"/>
          <w:lang w:eastAsia="en-ZA"/>
        </w:rPr>
      </w:pPr>
    </w:p>
    <w:p w14:paraId="5668D870" w14:textId="77777777" w:rsidR="007B7D0B" w:rsidRDefault="007B7D0B" w:rsidP="00240CD8">
      <w:pPr>
        <w:tabs>
          <w:tab w:val="left" w:pos="426"/>
        </w:tabs>
        <w:spacing w:after="0" w:line="240" w:lineRule="auto"/>
        <w:ind w:right="-193"/>
        <w:rPr>
          <w:rFonts w:ascii="Arial" w:eastAsia="Times New Roman" w:hAnsi="Arial" w:cs="Arial"/>
          <w:b/>
          <w:szCs w:val="24"/>
          <w:lang w:eastAsia="en-ZA"/>
        </w:rPr>
      </w:pPr>
    </w:p>
    <w:p w14:paraId="0F442851" w14:textId="77777777" w:rsidR="007B7D0B" w:rsidRDefault="007B7D0B" w:rsidP="00240CD8">
      <w:pPr>
        <w:tabs>
          <w:tab w:val="left" w:pos="426"/>
        </w:tabs>
        <w:spacing w:after="0" w:line="240" w:lineRule="auto"/>
        <w:ind w:right="-193"/>
        <w:rPr>
          <w:rFonts w:ascii="Arial" w:eastAsia="Times New Roman" w:hAnsi="Arial" w:cs="Arial"/>
          <w:b/>
          <w:szCs w:val="24"/>
          <w:lang w:eastAsia="en-ZA"/>
        </w:rPr>
      </w:pPr>
    </w:p>
    <w:p w14:paraId="44CB66EB" w14:textId="77777777" w:rsidR="007B7D0B" w:rsidRDefault="007B7D0B" w:rsidP="00240CD8">
      <w:pPr>
        <w:tabs>
          <w:tab w:val="left" w:pos="426"/>
        </w:tabs>
        <w:spacing w:after="0" w:line="240" w:lineRule="auto"/>
        <w:ind w:right="-193"/>
        <w:rPr>
          <w:rFonts w:ascii="Arial" w:eastAsia="Times New Roman" w:hAnsi="Arial" w:cs="Arial"/>
          <w:b/>
          <w:szCs w:val="24"/>
          <w:lang w:eastAsia="en-ZA"/>
        </w:rPr>
      </w:pPr>
    </w:p>
    <w:p w14:paraId="4A3827C0" w14:textId="77777777" w:rsidR="007B7D0B" w:rsidRDefault="007B7D0B" w:rsidP="00240CD8">
      <w:pPr>
        <w:tabs>
          <w:tab w:val="left" w:pos="426"/>
        </w:tabs>
        <w:spacing w:after="0" w:line="240" w:lineRule="auto"/>
        <w:ind w:right="-193"/>
        <w:rPr>
          <w:rFonts w:ascii="Arial" w:eastAsia="Times New Roman" w:hAnsi="Arial" w:cs="Arial"/>
          <w:b/>
          <w:szCs w:val="24"/>
          <w:lang w:eastAsia="en-ZA"/>
        </w:rPr>
      </w:pPr>
    </w:p>
    <w:p w14:paraId="6759DD8B" w14:textId="77777777" w:rsidR="007B7D0B" w:rsidRDefault="007B7D0B" w:rsidP="00240CD8">
      <w:pPr>
        <w:tabs>
          <w:tab w:val="left" w:pos="426"/>
        </w:tabs>
        <w:spacing w:after="0" w:line="240" w:lineRule="auto"/>
        <w:ind w:right="-193"/>
        <w:rPr>
          <w:rFonts w:ascii="Arial" w:eastAsia="Times New Roman" w:hAnsi="Arial" w:cs="Arial"/>
          <w:b/>
          <w:szCs w:val="24"/>
          <w:lang w:eastAsia="en-ZA"/>
        </w:rPr>
      </w:pPr>
    </w:p>
    <w:p w14:paraId="7D9513CE" w14:textId="77777777" w:rsidR="007B7D0B" w:rsidRDefault="007B7D0B" w:rsidP="00240CD8">
      <w:pPr>
        <w:tabs>
          <w:tab w:val="left" w:pos="426"/>
        </w:tabs>
        <w:spacing w:after="0" w:line="240" w:lineRule="auto"/>
        <w:ind w:right="-193"/>
        <w:rPr>
          <w:rFonts w:ascii="Arial" w:eastAsia="Times New Roman" w:hAnsi="Arial" w:cs="Arial"/>
          <w:b/>
          <w:szCs w:val="24"/>
          <w:lang w:eastAsia="en-ZA"/>
        </w:rPr>
      </w:pPr>
    </w:p>
    <w:p w14:paraId="5B25BEC5" w14:textId="77777777" w:rsidR="007B7D0B" w:rsidRDefault="007B7D0B" w:rsidP="00240CD8">
      <w:pPr>
        <w:tabs>
          <w:tab w:val="left" w:pos="426"/>
        </w:tabs>
        <w:spacing w:after="0" w:line="240" w:lineRule="auto"/>
        <w:ind w:right="-193"/>
        <w:rPr>
          <w:rFonts w:ascii="Arial" w:eastAsia="Times New Roman" w:hAnsi="Arial" w:cs="Arial"/>
          <w:b/>
          <w:szCs w:val="24"/>
          <w:lang w:eastAsia="en-ZA"/>
        </w:rPr>
      </w:pPr>
    </w:p>
    <w:p w14:paraId="52146C00" w14:textId="77777777" w:rsidR="007B7D0B" w:rsidRDefault="007B7D0B" w:rsidP="00240CD8">
      <w:pPr>
        <w:tabs>
          <w:tab w:val="left" w:pos="426"/>
        </w:tabs>
        <w:spacing w:after="0" w:line="240" w:lineRule="auto"/>
        <w:ind w:right="-193"/>
        <w:rPr>
          <w:rFonts w:ascii="Arial" w:eastAsia="Times New Roman" w:hAnsi="Arial" w:cs="Arial"/>
          <w:b/>
          <w:szCs w:val="24"/>
          <w:lang w:eastAsia="en-ZA"/>
        </w:rPr>
      </w:pPr>
    </w:p>
    <w:p w14:paraId="74800D12" w14:textId="77777777" w:rsidR="007B7D0B" w:rsidRDefault="007B7D0B" w:rsidP="00240CD8">
      <w:pPr>
        <w:tabs>
          <w:tab w:val="left" w:pos="426"/>
        </w:tabs>
        <w:spacing w:after="0" w:line="240" w:lineRule="auto"/>
        <w:ind w:right="-193"/>
        <w:rPr>
          <w:rFonts w:ascii="Arial" w:eastAsia="Times New Roman" w:hAnsi="Arial" w:cs="Arial"/>
          <w:b/>
          <w:szCs w:val="24"/>
          <w:lang w:eastAsia="en-ZA"/>
        </w:rPr>
      </w:pPr>
    </w:p>
    <w:p w14:paraId="6F8259E8" w14:textId="77777777" w:rsidR="007B7D0B" w:rsidRDefault="007B7D0B" w:rsidP="00240CD8">
      <w:pPr>
        <w:tabs>
          <w:tab w:val="left" w:pos="426"/>
        </w:tabs>
        <w:spacing w:after="0" w:line="240" w:lineRule="auto"/>
        <w:ind w:right="-193"/>
        <w:rPr>
          <w:rFonts w:ascii="Arial" w:eastAsia="Times New Roman" w:hAnsi="Arial" w:cs="Arial"/>
          <w:b/>
          <w:szCs w:val="24"/>
          <w:lang w:eastAsia="en-ZA"/>
        </w:rPr>
      </w:pPr>
    </w:p>
    <w:p w14:paraId="76C0088C" w14:textId="77777777" w:rsidR="007B7D0B" w:rsidRDefault="007B7D0B" w:rsidP="00240CD8">
      <w:pPr>
        <w:tabs>
          <w:tab w:val="left" w:pos="426"/>
        </w:tabs>
        <w:spacing w:after="0" w:line="240" w:lineRule="auto"/>
        <w:ind w:right="-193"/>
        <w:rPr>
          <w:rFonts w:ascii="Arial" w:eastAsia="Times New Roman" w:hAnsi="Arial" w:cs="Arial"/>
          <w:b/>
          <w:szCs w:val="24"/>
          <w:lang w:eastAsia="en-ZA"/>
        </w:rPr>
      </w:pPr>
    </w:p>
    <w:p w14:paraId="4014D906" w14:textId="77777777" w:rsidR="007B7D0B" w:rsidRDefault="007B7D0B" w:rsidP="00240CD8">
      <w:pPr>
        <w:tabs>
          <w:tab w:val="left" w:pos="426"/>
        </w:tabs>
        <w:spacing w:after="0" w:line="240" w:lineRule="auto"/>
        <w:ind w:right="-193"/>
        <w:rPr>
          <w:rFonts w:ascii="Arial" w:eastAsia="Times New Roman" w:hAnsi="Arial" w:cs="Arial"/>
          <w:b/>
          <w:szCs w:val="24"/>
          <w:lang w:eastAsia="en-ZA"/>
        </w:rPr>
      </w:pPr>
    </w:p>
    <w:p w14:paraId="7AD67FE3" w14:textId="77777777" w:rsidR="007B7D0B" w:rsidRDefault="007B7D0B" w:rsidP="00240CD8">
      <w:pPr>
        <w:tabs>
          <w:tab w:val="left" w:pos="426"/>
        </w:tabs>
        <w:spacing w:after="0" w:line="240" w:lineRule="auto"/>
        <w:ind w:right="-193"/>
        <w:rPr>
          <w:rFonts w:ascii="Arial" w:eastAsia="Times New Roman" w:hAnsi="Arial" w:cs="Arial"/>
          <w:b/>
          <w:szCs w:val="24"/>
          <w:lang w:eastAsia="en-ZA"/>
        </w:rPr>
      </w:pPr>
    </w:p>
    <w:p w14:paraId="11F516F6" w14:textId="77777777" w:rsidR="007B7D0B" w:rsidRDefault="007B7D0B" w:rsidP="00240CD8">
      <w:pPr>
        <w:tabs>
          <w:tab w:val="left" w:pos="426"/>
        </w:tabs>
        <w:spacing w:after="0" w:line="240" w:lineRule="auto"/>
        <w:ind w:right="-193"/>
        <w:rPr>
          <w:rFonts w:ascii="Arial" w:eastAsia="Times New Roman" w:hAnsi="Arial" w:cs="Arial"/>
          <w:b/>
          <w:szCs w:val="24"/>
          <w:lang w:eastAsia="en-ZA"/>
        </w:rPr>
      </w:pPr>
    </w:p>
    <w:p w14:paraId="027E99A3" w14:textId="77777777" w:rsidR="007B7D0B" w:rsidRDefault="007B7D0B" w:rsidP="00240CD8">
      <w:pPr>
        <w:tabs>
          <w:tab w:val="left" w:pos="426"/>
        </w:tabs>
        <w:spacing w:after="0" w:line="240" w:lineRule="auto"/>
        <w:ind w:right="-193"/>
        <w:rPr>
          <w:rFonts w:ascii="Arial" w:eastAsia="Times New Roman" w:hAnsi="Arial" w:cs="Arial"/>
          <w:b/>
          <w:szCs w:val="24"/>
          <w:lang w:eastAsia="en-ZA"/>
        </w:rPr>
      </w:pPr>
    </w:p>
    <w:p w14:paraId="4DD8B384" w14:textId="77777777" w:rsidR="00240CD8" w:rsidRDefault="00240CD8" w:rsidP="00240CD8">
      <w:pPr>
        <w:tabs>
          <w:tab w:val="left" w:pos="426"/>
        </w:tabs>
        <w:spacing w:after="0" w:line="240" w:lineRule="auto"/>
        <w:ind w:right="-193"/>
        <w:rPr>
          <w:rFonts w:ascii="Arial" w:eastAsia="Times New Roman" w:hAnsi="Arial" w:cs="Arial"/>
          <w:b/>
          <w:szCs w:val="24"/>
          <w:lang w:eastAsia="en-ZA"/>
        </w:rPr>
      </w:pPr>
      <w:proofErr w:type="spellStart"/>
      <w:r w:rsidRPr="002965EC">
        <w:rPr>
          <w:rFonts w:ascii="Arial" w:eastAsia="Times New Roman" w:hAnsi="Arial" w:cs="Arial"/>
          <w:b/>
          <w:szCs w:val="24"/>
          <w:lang w:eastAsia="en-ZA"/>
        </w:rPr>
        <w:t>Funza</w:t>
      </w:r>
      <w:proofErr w:type="spellEnd"/>
      <w:r w:rsidRPr="002965EC">
        <w:rPr>
          <w:rFonts w:ascii="Arial" w:eastAsia="Times New Roman" w:hAnsi="Arial" w:cs="Arial"/>
          <w:b/>
          <w:szCs w:val="24"/>
          <w:lang w:eastAsia="en-ZA"/>
        </w:rPr>
        <w:t xml:space="preserve"> </w:t>
      </w:r>
      <w:proofErr w:type="spellStart"/>
      <w:r w:rsidRPr="002965EC">
        <w:rPr>
          <w:rFonts w:ascii="Arial" w:eastAsia="Times New Roman" w:hAnsi="Arial" w:cs="Arial"/>
          <w:b/>
          <w:szCs w:val="24"/>
          <w:lang w:eastAsia="en-ZA"/>
        </w:rPr>
        <w:t>Lushaka</w:t>
      </w:r>
      <w:proofErr w:type="spellEnd"/>
      <w:r w:rsidRPr="002965EC">
        <w:rPr>
          <w:rFonts w:ascii="Arial" w:eastAsia="Times New Roman" w:hAnsi="Arial" w:cs="Arial"/>
          <w:b/>
          <w:szCs w:val="24"/>
          <w:lang w:eastAsia="en-ZA"/>
        </w:rPr>
        <w:t xml:space="preserve"> Bursary </w:t>
      </w:r>
    </w:p>
    <w:p w14:paraId="5201DB24" w14:textId="77777777" w:rsidR="00AC1543" w:rsidRPr="002965EC" w:rsidRDefault="00AC1543" w:rsidP="00240CD8">
      <w:pPr>
        <w:tabs>
          <w:tab w:val="left" w:pos="426"/>
        </w:tabs>
        <w:spacing w:after="0" w:line="240" w:lineRule="auto"/>
        <w:ind w:right="-193"/>
        <w:rPr>
          <w:rFonts w:ascii="Arial" w:eastAsia="Times New Roman" w:hAnsi="Arial" w:cs="Arial"/>
          <w:b/>
          <w:szCs w:val="24"/>
          <w:lang w:eastAsia="en-Z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1651"/>
        <w:gridCol w:w="1239"/>
        <w:gridCol w:w="1009"/>
        <w:gridCol w:w="1285"/>
        <w:gridCol w:w="609"/>
        <w:gridCol w:w="925"/>
        <w:gridCol w:w="998"/>
        <w:gridCol w:w="925"/>
      </w:tblGrid>
      <w:tr w:rsidR="00240CD8" w:rsidRPr="002965EC" w14:paraId="04337217" w14:textId="77777777" w:rsidTr="006A7149">
        <w:trPr>
          <w:trHeight w:val="300"/>
        </w:trPr>
        <w:tc>
          <w:tcPr>
            <w:tcW w:w="488" w:type="pct"/>
            <w:shd w:val="clear" w:color="auto" w:fill="auto"/>
            <w:noWrap/>
            <w:vAlign w:val="bottom"/>
            <w:hideMark/>
          </w:tcPr>
          <w:p w14:paraId="0D6BBCBB" w14:textId="77777777" w:rsidR="00240CD8" w:rsidRPr="00E50BAE" w:rsidRDefault="00240CD8" w:rsidP="006A7149">
            <w:pPr>
              <w:spacing w:after="0" w:line="240" w:lineRule="auto"/>
              <w:rPr>
                <w:rFonts w:ascii="Arial" w:eastAsia="Times New Roman" w:hAnsi="Arial" w:cs="Arial"/>
                <w:b/>
                <w:color w:val="000000"/>
                <w:sz w:val="22"/>
                <w:lang w:eastAsia="en-ZA"/>
              </w:rPr>
            </w:pPr>
          </w:p>
        </w:tc>
        <w:tc>
          <w:tcPr>
            <w:tcW w:w="2035" w:type="pct"/>
            <w:gridSpan w:val="3"/>
            <w:shd w:val="clear" w:color="auto" w:fill="auto"/>
            <w:noWrap/>
            <w:vAlign w:val="bottom"/>
            <w:hideMark/>
          </w:tcPr>
          <w:p w14:paraId="7933FA04"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No of Students who enrolled in Education Field</w:t>
            </w:r>
          </w:p>
        </w:tc>
        <w:tc>
          <w:tcPr>
            <w:tcW w:w="2477" w:type="pct"/>
            <w:gridSpan w:val="5"/>
            <w:shd w:val="clear" w:color="auto" w:fill="auto"/>
            <w:noWrap/>
            <w:vAlign w:val="bottom"/>
            <w:hideMark/>
          </w:tcPr>
          <w:p w14:paraId="5A0B7279"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 xml:space="preserve">No of Students who received </w:t>
            </w:r>
            <w:proofErr w:type="spellStart"/>
            <w:r w:rsidRPr="00E50BAE">
              <w:rPr>
                <w:rFonts w:ascii="Arial" w:eastAsia="Times New Roman" w:hAnsi="Arial" w:cs="Arial"/>
                <w:b/>
                <w:color w:val="000000"/>
                <w:sz w:val="22"/>
                <w:lang w:eastAsia="en-ZA"/>
              </w:rPr>
              <w:t>Funza</w:t>
            </w:r>
            <w:proofErr w:type="spellEnd"/>
            <w:r w:rsidRPr="00E50BAE">
              <w:rPr>
                <w:rFonts w:ascii="Arial" w:eastAsia="Times New Roman" w:hAnsi="Arial" w:cs="Arial"/>
                <w:b/>
                <w:color w:val="000000"/>
                <w:sz w:val="22"/>
                <w:lang w:eastAsia="en-ZA"/>
              </w:rPr>
              <w:t xml:space="preserve"> </w:t>
            </w:r>
            <w:proofErr w:type="spellStart"/>
            <w:r w:rsidRPr="00E50BAE">
              <w:rPr>
                <w:rFonts w:ascii="Arial" w:eastAsia="Times New Roman" w:hAnsi="Arial" w:cs="Arial"/>
                <w:b/>
                <w:color w:val="000000"/>
                <w:sz w:val="22"/>
                <w:lang w:eastAsia="en-ZA"/>
              </w:rPr>
              <w:t>Lushaka</w:t>
            </w:r>
            <w:proofErr w:type="spellEnd"/>
            <w:r w:rsidRPr="00E50BAE">
              <w:rPr>
                <w:rFonts w:ascii="Arial" w:eastAsia="Times New Roman" w:hAnsi="Arial" w:cs="Arial"/>
                <w:b/>
                <w:color w:val="000000"/>
                <w:sz w:val="22"/>
                <w:lang w:eastAsia="en-ZA"/>
              </w:rPr>
              <w:t xml:space="preserve"> bursary and percentage against enrolment</w:t>
            </w:r>
          </w:p>
        </w:tc>
      </w:tr>
      <w:tr w:rsidR="00240CD8" w:rsidRPr="002965EC" w14:paraId="415DB484" w14:textId="77777777" w:rsidTr="006A7149">
        <w:trPr>
          <w:trHeight w:val="300"/>
        </w:trPr>
        <w:tc>
          <w:tcPr>
            <w:tcW w:w="488" w:type="pct"/>
            <w:shd w:val="clear" w:color="auto" w:fill="auto"/>
            <w:noWrap/>
            <w:vAlign w:val="bottom"/>
            <w:hideMark/>
          </w:tcPr>
          <w:p w14:paraId="44AC7F92" w14:textId="77777777" w:rsidR="00240CD8" w:rsidRPr="00E50BAE" w:rsidRDefault="00240CD8" w:rsidP="006A7149">
            <w:pPr>
              <w:spacing w:after="0" w:line="240" w:lineRule="auto"/>
              <w:rPr>
                <w:rFonts w:ascii="Arial" w:eastAsia="Times New Roman" w:hAnsi="Arial" w:cs="Arial"/>
                <w:b/>
                <w:color w:val="000000"/>
                <w:sz w:val="22"/>
                <w:lang w:eastAsia="en-ZA"/>
              </w:rPr>
            </w:pPr>
          </w:p>
        </w:tc>
        <w:tc>
          <w:tcPr>
            <w:tcW w:w="862" w:type="pct"/>
            <w:shd w:val="clear" w:color="auto" w:fill="auto"/>
            <w:noWrap/>
            <w:vAlign w:val="bottom"/>
            <w:hideMark/>
          </w:tcPr>
          <w:p w14:paraId="28A6EC1E"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Female</w:t>
            </w:r>
          </w:p>
        </w:tc>
        <w:tc>
          <w:tcPr>
            <w:tcW w:w="647" w:type="pct"/>
            <w:shd w:val="clear" w:color="auto" w:fill="auto"/>
            <w:noWrap/>
            <w:vAlign w:val="bottom"/>
            <w:hideMark/>
          </w:tcPr>
          <w:p w14:paraId="26BCF9D7"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Male</w:t>
            </w:r>
          </w:p>
        </w:tc>
        <w:tc>
          <w:tcPr>
            <w:tcW w:w="527" w:type="pct"/>
            <w:shd w:val="clear" w:color="auto" w:fill="auto"/>
            <w:noWrap/>
            <w:vAlign w:val="bottom"/>
            <w:hideMark/>
          </w:tcPr>
          <w:p w14:paraId="3AC976C3"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Total</w:t>
            </w:r>
          </w:p>
        </w:tc>
        <w:tc>
          <w:tcPr>
            <w:tcW w:w="671" w:type="pct"/>
            <w:shd w:val="clear" w:color="auto" w:fill="auto"/>
            <w:noWrap/>
            <w:vAlign w:val="bottom"/>
            <w:hideMark/>
          </w:tcPr>
          <w:p w14:paraId="5DDDDF85"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Female</w:t>
            </w:r>
          </w:p>
        </w:tc>
        <w:tc>
          <w:tcPr>
            <w:tcW w:w="318" w:type="pct"/>
            <w:shd w:val="clear" w:color="auto" w:fill="auto"/>
            <w:noWrap/>
            <w:vAlign w:val="bottom"/>
            <w:hideMark/>
          </w:tcPr>
          <w:p w14:paraId="23D4D280"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w:t>
            </w:r>
          </w:p>
        </w:tc>
        <w:tc>
          <w:tcPr>
            <w:tcW w:w="483" w:type="pct"/>
            <w:shd w:val="clear" w:color="auto" w:fill="auto"/>
            <w:noWrap/>
            <w:vAlign w:val="bottom"/>
            <w:hideMark/>
          </w:tcPr>
          <w:p w14:paraId="369C4288"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Male</w:t>
            </w:r>
          </w:p>
        </w:tc>
        <w:tc>
          <w:tcPr>
            <w:tcW w:w="521" w:type="pct"/>
            <w:shd w:val="clear" w:color="auto" w:fill="auto"/>
            <w:noWrap/>
            <w:vAlign w:val="bottom"/>
            <w:hideMark/>
          </w:tcPr>
          <w:p w14:paraId="23B12091"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w:t>
            </w:r>
          </w:p>
        </w:tc>
        <w:tc>
          <w:tcPr>
            <w:tcW w:w="483" w:type="pct"/>
            <w:shd w:val="clear" w:color="auto" w:fill="auto"/>
            <w:noWrap/>
            <w:vAlign w:val="bottom"/>
            <w:hideMark/>
          </w:tcPr>
          <w:p w14:paraId="5D3B2740"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Total</w:t>
            </w:r>
          </w:p>
        </w:tc>
      </w:tr>
      <w:tr w:rsidR="00240CD8" w:rsidRPr="002965EC" w14:paraId="113D7D47" w14:textId="77777777" w:rsidTr="006A7149">
        <w:trPr>
          <w:trHeight w:val="300"/>
        </w:trPr>
        <w:tc>
          <w:tcPr>
            <w:tcW w:w="488" w:type="pct"/>
            <w:shd w:val="clear" w:color="auto" w:fill="auto"/>
            <w:noWrap/>
            <w:vAlign w:val="bottom"/>
            <w:hideMark/>
          </w:tcPr>
          <w:p w14:paraId="42E305DE"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2011</w:t>
            </w:r>
          </w:p>
        </w:tc>
        <w:tc>
          <w:tcPr>
            <w:tcW w:w="862" w:type="pct"/>
            <w:shd w:val="clear" w:color="auto" w:fill="auto"/>
            <w:noWrap/>
            <w:vAlign w:val="bottom"/>
            <w:hideMark/>
          </w:tcPr>
          <w:p w14:paraId="1A64EE4B"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122 296</w:t>
            </w:r>
          </w:p>
        </w:tc>
        <w:tc>
          <w:tcPr>
            <w:tcW w:w="647" w:type="pct"/>
            <w:shd w:val="clear" w:color="auto" w:fill="auto"/>
            <w:noWrap/>
            <w:vAlign w:val="bottom"/>
            <w:hideMark/>
          </w:tcPr>
          <w:p w14:paraId="2D166227"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42 580</w:t>
            </w:r>
          </w:p>
        </w:tc>
        <w:tc>
          <w:tcPr>
            <w:tcW w:w="527" w:type="pct"/>
            <w:shd w:val="clear" w:color="auto" w:fill="auto"/>
            <w:noWrap/>
            <w:vAlign w:val="bottom"/>
            <w:hideMark/>
          </w:tcPr>
          <w:p w14:paraId="4EC040C4"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164 939</w:t>
            </w:r>
          </w:p>
        </w:tc>
        <w:tc>
          <w:tcPr>
            <w:tcW w:w="671" w:type="pct"/>
            <w:shd w:val="clear" w:color="auto" w:fill="auto"/>
            <w:noWrap/>
            <w:vAlign w:val="bottom"/>
            <w:hideMark/>
          </w:tcPr>
          <w:p w14:paraId="40818DCC"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6 115</w:t>
            </w:r>
          </w:p>
        </w:tc>
        <w:tc>
          <w:tcPr>
            <w:tcW w:w="318" w:type="pct"/>
            <w:shd w:val="clear" w:color="auto" w:fill="auto"/>
            <w:noWrap/>
            <w:vAlign w:val="bottom"/>
            <w:hideMark/>
          </w:tcPr>
          <w:p w14:paraId="4529A8D8"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5,0</w:t>
            </w:r>
          </w:p>
        </w:tc>
        <w:tc>
          <w:tcPr>
            <w:tcW w:w="483" w:type="pct"/>
            <w:shd w:val="clear" w:color="auto" w:fill="auto"/>
            <w:noWrap/>
            <w:vAlign w:val="bottom"/>
            <w:hideMark/>
          </w:tcPr>
          <w:p w14:paraId="6A3F4939"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2 778</w:t>
            </w:r>
          </w:p>
        </w:tc>
        <w:tc>
          <w:tcPr>
            <w:tcW w:w="521" w:type="pct"/>
            <w:shd w:val="clear" w:color="auto" w:fill="auto"/>
            <w:noWrap/>
            <w:vAlign w:val="bottom"/>
            <w:hideMark/>
          </w:tcPr>
          <w:p w14:paraId="18E8F8FC"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6,5</w:t>
            </w:r>
          </w:p>
        </w:tc>
        <w:tc>
          <w:tcPr>
            <w:tcW w:w="483" w:type="pct"/>
            <w:shd w:val="clear" w:color="auto" w:fill="auto"/>
            <w:noWrap/>
            <w:vAlign w:val="bottom"/>
            <w:hideMark/>
          </w:tcPr>
          <w:p w14:paraId="3CA496E4"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8 893</w:t>
            </w:r>
          </w:p>
        </w:tc>
      </w:tr>
      <w:tr w:rsidR="00240CD8" w:rsidRPr="002965EC" w14:paraId="690CD874" w14:textId="77777777" w:rsidTr="006A7149">
        <w:trPr>
          <w:trHeight w:val="300"/>
        </w:trPr>
        <w:tc>
          <w:tcPr>
            <w:tcW w:w="488" w:type="pct"/>
            <w:shd w:val="clear" w:color="auto" w:fill="auto"/>
            <w:noWrap/>
            <w:vAlign w:val="bottom"/>
            <w:hideMark/>
          </w:tcPr>
          <w:p w14:paraId="7EFBB51A"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2012</w:t>
            </w:r>
          </w:p>
        </w:tc>
        <w:tc>
          <w:tcPr>
            <w:tcW w:w="862" w:type="pct"/>
            <w:shd w:val="clear" w:color="auto" w:fill="auto"/>
            <w:noWrap/>
            <w:vAlign w:val="bottom"/>
            <w:hideMark/>
          </w:tcPr>
          <w:p w14:paraId="195F9C03"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125 950</w:t>
            </w:r>
          </w:p>
        </w:tc>
        <w:tc>
          <w:tcPr>
            <w:tcW w:w="647" w:type="pct"/>
            <w:shd w:val="clear" w:color="auto" w:fill="auto"/>
            <w:noWrap/>
            <w:vAlign w:val="bottom"/>
            <w:hideMark/>
          </w:tcPr>
          <w:p w14:paraId="03F0D26B"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42 511</w:t>
            </w:r>
          </w:p>
        </w:tc>
        <w:tc>
          <w:tcPr>
            <w:tcW w:w="527" w:type="pct"/>
            <w:shd w:val="clear" w:color="auto" w:fill="auto"/>
            <w:noWrap/>
            <w:vAlign w:val="bottom"/>
            <w:hideMark/>
          </w:tcPr>
          <w:p w14:paraId="48C5169B"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168 608</w:t>
            </w:r>
          </w:p>
        </w:tc>
        <w:tc>
          <w:tcPr>
            <w:tcW w:w="671" w:type="pct"/>
            <w:shd w:val="clear" w:color="auto" w:fill="auto"/>
            <w:noWrap/>
            <w:vAlign w:val="bottom"/>
            <w:hideMark/>
          </w:tcPr>
          <w:p w14:paraId="4C0119F1"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8 071</w:t>
            </w:r>
          </w:p>
        </w:tc>
        <w:tc>
          <w:tcPr>
            <w:tcW w:w="318" w:type="pct"/>
            <w:shd w:val="clear" w:color="auto" w:fill="auto"/>
            <w:noWrap/>
            <w:vAlign w:val="bottom"/>
            <w:hideMark/>
          </w:tcPr>
          <w:p w14:paraId="614D0006"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6,4</w:t>
            </w:r>
          </w:p>
        </w:tc>
        <w:tc>
          <w:tcPr>
            <w:tcW w:w="483" w:type="pct"/>
            <w:shd w:val="clear" w:color="auto" w:fill="auto"/>
            <w:noWrap/>
            <w:vAlign w:val="bottom"/>
            <w:hideMark/>
          </w:tcPr>
          <w:p w14:paraId="6206DF56"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3 631</w:t>
            </w:r>
          </w:p>
        </w:tc>
        <w:tc>
          <w:tcPr>
            <w:tcW w:w="521" w:type="pct"/>
            <w:shd w:val="clear" w:color="auto" w:fill="auto"/>
            <w:noWrap/>
            <w:vAlign w:val="bottom"/>
            <w:hideMark/>
          </w:tcPr>
          <w:p w14:paraId="3CB2DB6E"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8,5</w:t>
            </w:r>
          </w:p>
        </w:tc>
        <w:tc>
          <w:tcPr>
            <w:tcW w:w="483" w:type="pct"/>
            <w:shd w:val="clear" w:color="auto" w:fill="auto"/>
            <w:noWrap/>
            <w:vAlign w:val="bottom"/>
            <w:hideMark/>
          </w:tcPr>
          <w:p w14:paraId="3498E819"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11 702</w:t>
            </w:r>
          </w:p>
        </w:tc>
      </w:tr>
      <w:tr w:rsidR="00240CD8" w:rsidRPr="002965EC" w14:paraId="1DF71584" w14:textId="77777777" w:rsidTr="006A7149">
        <w:trPr>
          <w:trHeight w:val="300"/>
        </w:trPr>
        <w:tc>
          <w:tcPr>
            <w:tcW w:w="488" w:type="pct"/>
            <w:shd w:val="clear" w:color="auto" w:fill="auto"/>
            <w:noWrap/>
            <w:vAlign w:val="bottom"/>
            <w:hideMark/>
          </w:tcPr>
          <w:p w14:paraId="2CD8BE06"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2013</w:t>
            </w:r>
          </w:p>
        </w:tc>
        <w:tc>
          <w:tcPr>
            <w:tcW w:w="862" w:type="pct"/>
            <w:shd w:val="clear" w:color="auto" w:fill="auto"/>
            <w:noWrap/>
            <w:vAlign w:val="bottom"/>
            <w:hideMark/>
          </w:tcPr>
          <w:p w14:paraId="11FEA487"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129 736</w:t>
            </w:r>
          </w:p>
        </w:tc>
        <w:tc>
          <w:tcPr>
            <w:tcW w:w="647" w:type="pct"/>
            <w:shd w:val="clear" w:color="auto" w:fill="auto"/>
            <w:noWrap/>
            <w:vAlign w:val="bottom"/>
            <w:hideMark/>
          </w:tcPr>
          <w:p w14:paraId="70FA994B"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43 255</w:t>
            </w:r>
          </w:p>
        </w:tc>
        <w:tc>
          <w:tcPr>
            <w:tcW w:w="527" w:type="pct"/>
            <w:shd w:val="clear" w:color="auto" w:fill="auto"/>
            <w:noWrap/>
            <w:vAlign w:val="bottom"/>
            <w:hideMark/>
          </w:tcPr>
          <w:p w14:paraId="58D7D2AC"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172 991</w:t>
            </w:r>
          </w:p>
        </w:tc>
        <w:tc>
          <w:tcPr>
            <w:tcW w:w="671" w:type="pct"/>
            <w:shd w:val="clear" w:color="auto" w:fill="auto"/>
            <w:noWrap/>
            <w:vAlign w:val="bottom"/>
            <w:hideMark/>
          </w:tcPr>
          <w:p w14:paraId="6AB9F735"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9 912</w:t>
            </w:r>
          </w:p>
        </w:tc>
        <w:tc>
          <w:tcPr>
            <w:tcW w:w="318" w:type="pct"/>
            <w:shd w:val="clear" w:color="auto" w:fill="auto"/>
            <w:noWrap/>
            <w:vAlign w:val="bottom"/>
            <w:hideMark/>
          </w:tcPr>
          <w:p w14:paraId="7B4DAD94"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7,6</w:t>
            </w:r>
          </w:p>
        </w:tc>
        <w:tc>
          <w:tcPr>
            <w:tcW w:w="483" w:type="pct"/>
            <w:shd w:val="clear" w:color="auto" w:fill="auto"/>
            <w:noWrap/>
            <w:vAlign w:val="bottom"/>
            <w:hideMark/>
          </w:tcPr>
          <w:p w14:paraId="6E08F43C"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4 561</w:t>
            </w:r>
          </w:p>
        </w:tc>
        <w:tc>
          <w:tcPr>
            <w:tcW w:w="521" w:type="pct"/>
            <w:shd w:val="clear" w:color="auto" w:fill="auto"/>
            <w:noWrap/>
            <w:vAlign w:val="bottom"/>
            <w:hideMark/>
          </w:tcPr>
          <w:p w14:paraId="688E8A2B"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10,5</w:t>
            </w:r>
          </w:p>
        </w:tc>
        <w:tc>
          <w:tcPr>
            <w:tcW w:w="483" w:type="pct"/>
            <w:shd w:val="clear" w:color="auto" w:fill="auto"/>
            <w:noWrap/>
            <w:vAlign w:val="bottom"/>
            <w:hideMark/>
          </w:tcPr>
          <w:p w14:paraId="3F5794DF"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14 473</w:t>
            </w:r>
          </w:p>
        </w:tc>
      </w:tr>
      <w:tr w:rsidR="00240CD8" w:rsidRPr="002965EC" w14:paraId="1CB29C4B" w14:textId="77777777" w:rsidTr="006A7149">
        <w:trPr>
          <w:trHeight w:val="300"/>
        </w:trPr>
        <w:tc>
          <w:tcPr>
            <w:tcW w:w="488" w:type="pct"/>
            <w:shd w:val="clear" w:color="auto" w:fill="auto"/>
            <w:noWrap/>
            <w:vAlign w:val="bottom"/>
            <w:hideMark/>
          </w:tcPr>
          <w:p w14:paraId="2B012F03"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2014</w:t>
            </w:r>
          </w:p>
        </w:tc>
        <w:tc>
          <w:tcPr>
            <w:tcW w:w="862" w:type="pct"/>
            <w:shd w:val="clear" w:color="auto" w:fill="auto"/>
            <w:noWrap/>
            <w:vAlign w:val="bottom"/>
            <w:hideMark/>
          </w:tcPr>
          <w:p w14:paraId="6775598F"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124 636</w:t>
            </w:r>
          </w:p>
        </w:tc>
        <w:tc>
          <w:tcPr>
            <w:tcW w:w="647" w:type="pct"/>
            <w:shd w:val="clear" w:color="auto" w:fill="auto"/>
            <w:noWrap/>
            <w:vAlign w:val="bottom"/>
            <w:hideMark/>
          </w:tcPr>
          <w:p w14:paraId="1BF9AA21"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41 462</w:t>
            </w:r>
          </w:p>
        </w:tc>
        <w:tc>
          <w:tcPr>
            <w:tcW w:w="527" w:type="pct"/>
            <w:shd w:val="clear" w:color="auto" w:fill="auto"/>
            <w:noWrap/>
            <w:vAlign w:val="bottom"/>
            <w:hideMark/>
          </w:tcPr>
          <w:p w14:paraId="54006C09"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166 099</w:t>
            </w:r>
          </w:p>
        </w:tc>
        <w:tc>
          <w:tcPr>
            <w:tcW w:w="671" w:type="pct"/>
            <w:shd w:val="clear" w:color="auto" w:fill="auto"/>
            <w:noWrap/>
            <w:vAlign w:val="bottom"/>
            <w:hideMark/>
          </w:tcPr>
          <w:p w14:paraId="2F3D6A04"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9 570</w:t>
            </w:r>
          </w:p>
        </w:tc>
        <w:tc>
          <w:tcPr>
            <w:tcW w:w="318" w:type="pct"/>
            <w:shd w:val="clear" w:color="auto" w:fill="auto"/>
            <w:noWrap/>
            <w:vAlign w:val="bottom"/>
            <w:hideMark/>
          </w:tcPr>
          <w:p w14:paraId="6218DFA3"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7,7</w:t>
            </w:r>
          </w:p>
        </w:tc>
        <w:tc>
          <w:tcPr>
            <w:tcW w:w="483" w:type="pct"/>
            <w:shd w:val="clear" w:color="auto" w:fill="auto"/>
            <w:noWrap/>
            <w:vAlign w:val="bottom"/>
            <w:hideMark/>
          </w:tcPr>
          <w:p w14:paraId="6F48554A"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4 758</w:t>
            </w:r>
          </w:p>
        </w:tc>
        <w:tc>
          <w:tcPr>
            <w:tcW w:w="521" w:type="pct"/>
            <w:shd w:val="clear" w:color="auto" w:fill="auto"/>
            <w:noWrap/>
            <w:vAlign w:val="bottom"/>
            <w:hideMark/>
          </w:tcPr>
          <w:p w14:paraId="44FCF95C"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11,5</w:t>
            </w:r>
          </w:p>
        </w:tc>
        <w:tc>
          <w:tcPr>
            <w:tcW w:w="483" w:type="pct"/>
            <w:shd w:val="clear" w:color="auto" w:fill="auto"/>
            <w:noWrap/>
            <w:vAlign w:val="bottom"/>
            <w:hideMark/>
          </w:tcPr>
          <w:p w14:paraId="37F71377"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14 328</w:t>
            </w:r>
          </w:p>
        </w:tc>
      </w:tr>
      <w:tr w:rsidR="00240CD8" w:rsidRPr="002965EC" w14:paraId="54ABC9BA" w14:textId="77777777" w:rsidTr="006A7149">
        <w:trPr>
          <w:trHeight w:val="300"/>
        </w:trPr>
        <w:tc>
          <w:tcPr>
            <w:tcW w:w="488" w:type="pct"/>
            <w:shd w:val="clear" w:color="auto" w:fill="auto"/>
            <w:noWrap/>
            <w:vAlign w:val="bottom"/>
            <w:hideMark/>
          </w:tcPr>
          <w:p w14:paraId="0B22977B"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2015</w:t>
            </w:r>
          </w:p>
        </w:tc>
        <w:tc>
          <w:tcPr>
            <w:tcW w:w="862" w:type="pct"/>
            <w:shd w:val="clear" w:color="auto" w:fill="auto"/>
            <w:noWrap/>
            <w:vAlign w:val="bottom"/>
            <w:hideMark/>
          </w:tcPr>
          <w:p w14:paraId="4919FFEE"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128 130</w:t>
            </w:r>
          </w:p>
        </w:tc>
        <w:tc>
          <w:tcPr>
            <w:tcW w:w="647" w:type="pct"/>
            <w:shd w:val="clear" w:color="auto" w:fill="auto"/>
            <w:noWrap/>
            <w:vAlign w:val="bottom"/>
            <w:hideMark/>
          </w:tcPr>
          <w:p w14:paraId="057C3AC9"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42 417</w:t>
            </w:r>
          </w:p>
        </w:tc>
        <w:tc>
          <w:tcPr>
            <w:tcW w:w="527" w:type="pct"/>
            <w:shd w:val="clear" w:color="auto" w:fill="auto"/>
            <w:noWrap/>
            <w:vAlign w:val="bottom"/>
            <w:hideMark/>
          </w:tcPr>
          <w:p w14:paraId="09E7E506"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170 550</w:t>
            </w:r>
          </w:p>
        </w:tc>
        <w:tc>
          <w:tcPr>
            <w:tcW w:w="671" w:type="pct"/>
            <w:shd w:val="clear" w:color="auto" w:fill="auto"/>
            <w:noWrap/>
            <w:vAlign w:val="bottom"/>
            <w:hideMark/>
          </w:tcPr>
          <w:p w14:paraId="2049CCE8"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8 986</w:t>
            </w:r>
          </w:p>
        </w:tc>
        <w:tc>
          <w:tcPr>
            <w:tcW w:w="318" w:type="pct"/>
            <w:shd w:val="clear" w:color="auto" w:fill="auto"/>
            <w:noWrap/>
            <w:vAlign w:val="bottom"/>
            <w:hideMark/>
          </w:tcPr>
          <w:p w14:paraId="4A469CD3"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7,0</w:t>
            </w:r>
          </w:p>
        </w:tc>
        <w:tc>
          <w:tcPr>
            <w:tcW w:w="483" w:type="pct"/>
            <w:shd w:val="clear" w:color="auto" w:fill="auto"/>
            <w:noWrap/>
            <w:vAlign w:val="bottom"/>
            <w:hideMark/>
          </w:tcPr>
          <w:p w14:paraId="11FB1B81"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5 040</w:t>
            </w:r>
          </w:p>
        </w:tc>
        <w:tc>
          <w:tcPr>
            <w:tcW w:w="521" w:type="pct"/>
            <w:shd w:val="clear" w:color="auto" w:fill="auto"/>
            <w:noWrap/>
            <w:vAlign w:val="bottom"/>
            <w:hideMark/>
          </w:tcPr>
          <w:p w14:paraId="695AD6F6"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11,9</w:t>
            </w:r>
          </w:p>
        </w:tc>
        <w:tc>
          <w:tcPr>
            <w:tcW w:w="483" w:type="pct"/>
            <w:shd w:val="clear" w:color="auto" w:fill="auto"/>
            <w:noWrap/>
            <w:vAlign w:val="bottom"/>
            <w:hideMark/>
          </w:tcPr>
          <w:p w14:paraId="5CF596EC"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14 026</w:t>
            </w:r>
          </w:p>
        </w:tc>
      </w:tr>
      <w:tr w:rsidR="00240CD8" w:rsidRPr="002965EC" w14:paraId="29A7D3C9" w14:textId="77777777" w:rsidTr="006A7149">
        <w:trPr>
          <w:trHeight w:val="300"/>
        </w:trPr>
        <w:tc>
          <w:tcPr>
            <w:tcW w:w="488" w:type="pct"/>
            <w:shd w:val="clear" w:color="auto" w:fill="auto"/>
            <w:noWrap/>
            <w:vAlign w:val="bottom"/>
            <w:hideMark/>
          </w:tcPr>
          <w:p w14:paraId="5D66D749"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2016</w:t>
            </w:r>
          </w:p>
        </w:tc>
        <w:tc>
          <w:tcPr>
            <w:tcW w:w="862" w:type="pct"/>
            <w:shd w:val="clear" w:color="auto" w:fill="auto"/>
            <w:noWrap/>
            <w:vAlign w:val="bottom"/>
            <w:hideMark/>
          </w:tcPr>
          <w:p w14:paraId="4D5DE8E1"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131 550</w:t>
            </w:r>
          </w:p>
        </w:tc>
        <w:tc>
          <w:tcPr>
            <w:tcW w:w="647" w:type="pct"/>
            <w:shd w:val="clear" w:color="auto" w:fill="auto"/>
            <w:noWrap/>
            <w:vAlign w:val="bottom"/>
            <w:hideMark/>
          </w:tcPr>
          <w:p w14:paraId="26BBE604"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45 434</w:t>
            </w:r>
          </w:p>
        </w:tc>
        <w:tc>
          <w:tcPr>
            <w:tcW w:w="527" w:type="pct"/>
            <w:shd w:val="clear" w:color="auto" w:fill="auto"/>
            <w:noWrap/>
            <w:vAlign w:val="bottom"/>
            <w:hideMark/>
          </w:tcPr>
          <w:p w14:paraId="1173FEF9"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176 986</w:t>
            </w:r>
          </w:p>
        </w:tc>
        <w:tc>
          <w:tcPr>
            <w:tcW w:w="671" w:type="pct"/>
            <w:shd w:val="clear" w:color="auto" w:fill="auto"/>
            <w:noWrap/>
            <w:vAlign w:val="bottom"/>
            <w:hideMark/>
          </w:tcPr>
          <w:p w14:paraId="2A094FEE"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8 781</w:t>
            </w:r>
          </w:p>
        </w:tc>
        <w:tc>
          <w:tcPr>
            <w:tcW w:w="318" w:type="pct"/>
            <w:shd w:val="clear" w:color="auto" w:fill="auto"/>
            <w:noWrap/>
            <w:vAlign w:val="bottom"/>
            <w:hideMark/>
          </w:tcPr>
          <w:p w14:paraId="424C1D26"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6,7</w:t>
            </w:r>
          </w:p>
        </w:tc>
        <w:tc>
          <w:tcPr>
            <w:tcW w:w="483" w:type="pct"/>
            <w:shd w:val="clear" w:color="auto" w:fill="auto"/>
            <w:noWrap/>
            <w:vAlign w:val="bottom"/>
            <w:hideMark/>
          </w:tcPr>
          <w:p w14:paraId="7D0723C7"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5 355</w:t>
            </w:r>
          </w:p>
        </w:tc>
        <w:tc>
          <w:tcPr>
            <w:tcW w:w="521" w:type="pct"/>
            <w:shd w:val="clear" w:color="auto" w:fill="auto"/>
            <w:noWrap/>
            <w:vAlign w:val="bottom"/>
            <w:hideMark/>
          </w:tcPr>
          <w:p w14:paraId="15F4757E" w14:textId="77777777" w:rsidR="00240CD8" w:rsidRPr="00E50BAE" w:rsidRDefault="00240CD8" w:rsidP="006A7149">
            <w:pPr>
              <w:spacing w:after="0" w:line="240" w:lineRule="auto"/>
              <w:rPr>
                <w:rFonts w:ascii="Arial" w:eastAsia="Times New Roman" w:hAnsi="Arial" w:cs="Arial"/>
                <w:color w:val="000000"/>
                <w:sz w:val="22"/>
                <w:lang w:eastAsia="en-ZA"/>
              </w:rPr>
            </w:pPr>
            <w:r w:rsidRPr="00E50BAE">
              <w:rPr>
                <w:rFonts w:ascii="Arial" w:eastAsia="Times New Roman" w:hAnsi="Arial" w:cs="Arial"/>
                <w:color w:val="000000"/>
                <w:sz w:val="22"/>
                <w:lang w:eastAsia="en-ZA"/>
              </w:rPr>
              <w:t>11,8</w:t>
            </w:r>
          </w:p>
        </w:tc>
        <w:tc>
          <w:tcPr>
            <w:tcW w:w="483" w:type="pct"/>
            <w:shd w:val="clear" w:color="auto" w:fill="auto"/>
            <w:noWrap/>
            <w:vAlign w:val="bottom"/>
            <w:hideMark/>
          </w:tcPr>
          <w:p w14:paraId="5E4C2156" w14:textId="77777777" w:rsidR="00240CD8" w:rsidRPr="00E50BAE" w:rsidRDefault="00240CD8" w:rsidP="006A7149">
            <w:pPr>
              <w:spacing w:after="0" w:line="240" w:lineRule="auto"/>
              <w:rPr>
                <w:rFonts w:ascii="Arial" w:eastAsia="Times New Roman" w:hAnsi="Arial" w:cs="Arial"/>
                <w:b/>
                <w:color w:val="000000"/>
                <w:sz w:val="22"/>
                <w:lang w:eastAsia="en-ZA"/>
              </w:rPr>
            </w:pPr>
            <w:r w:rsidRPr="00E50BAE">
              <w:rPr>
                <w:rFonts w:ascii="Arial" w:eastAsia="Times New Roman" w:hAnsi="Arial" w:cs="Arial"/>
                <w:b/>
                <w:color w:val="000000"/>
                <w:sz w:val="22"/>
                <w:lang w:eastAsia="en-ZA"/>
              </w:rPr>
              <w:t>14 136</w:t>
            </w:r>
          </w:p>
        </w:tc>
      </w:tr>
    </w:tbl>
    <w:p w14:paraId="26747CF2" w14:textId="77777777" w:rsidR="00240CD8" w:rsidRPr="002965EC" w:rsidRDefault="00240CD8" w:rsidP="00240CD8">
      <w:pPr>
        <w:tabs>
          <w:tab w:val="left" w:pos="426"/>
        </w:tabs>
        <w:spacing w:after="0" w:line="240" w:lineRule="auto"/>
        <w:ind w:right="-193"/>
        <w:rPr>
          <w:rFonts w:ascii="Arial" w:eastAsia="Times New Roman" w:hAnsi="Arial" w:cs="Arial"/>
          <w:szCs w:val="24"/>
          <w:lang w:eastAsia="en-ZA"/>
        </w:rPr>
      </w:pPr>
    </w:p>
    <w:p w14:paraId="5DEA08DC" w14:textId="77777777" w:rsidR="00240CD8" w:rsidRPr="002965EC" w:rsidRDefault="00240CD8" w:rsidP="009C0024">
      <w:pPr>
        <w:rPr>
          <w:rFonts w:ascii="Arial" w:hAnsi="Arial" w:cs="Arial"/>
          <w:szCs w:val="24"/>
        </w:rPr>
      </w:pPr>
    </w:p>
    <w:p w14:paraId="7662BB8E" w14:textId="77777777" w:rsidR="00507F89" w:rsidRPr="002965EC" w:rsidRDefault="003B2FEA" w:rsidP="003B2FEA">
      <w:pPr>
        <w:rPr>
          <w:rFonts w:ascii="Arial" w:hAnsi="Arial" w:cs="Arial"/>
        </w:rPr>
      </w:pPr>
      <w:r w:rsidRPr="002965EC">
        <w:rPr>
          <w:rFonts w:ascii="Arial" w:hAnsi="Arial" w:cs="Arial"/>
        </w:rPr>
        <w:t>The South African government remains committed to increasing it’s spending on the Mathematics, Science and English teaching areas. This includes increased expenditure on the training of educators in this area. The pass rate of mathematics in Grade 12 has been fluctuating for over a decade, where it was 18,1% in 2008 and decreased to 11,8% in 2015. This is obviously cause for concern. This would assist increasing the number of young women and girls in the areas of science, technology and engineering. Currently the country is making steady progress in science, engineering and technology (SET). Furthermore, good progress is being made with the number of women graduating in the SET disciplines. At doctoral level for example, 43% of graduates in SET were women in 2015. And most of the degrees were “in health and related clinical sciences (58%), life sciences (58%), education (52%) and agricultural sciences (50%). The number of women obtaining doctoral qualifications in disciplines like engineering, mathematics, statistics, and computer and information science is still low” (Department of Science and Technology, 2017:8).</w:t>
      </w:r>
      <w:r w:rsidRPr="002965EC">
        <w:rPr>
          <w:rFonts w:ascii="Arial" w:hAnsi="Arial" w:cs="Arial"/>
        </w:rPr>
        <w:footnoteReference w:id="11"/>
      </w:r>
      <w:r w:rsidRPr="002965EC">
        <w:rPr>
          <w:rFonts w:ascii="Arial" w:hAnsi="Arial" w:cs="Arial"/>
        </w:rPr>
        <w:t xml:space="preserve"> The table below illustrates:</w:t>
      </w:r>
    </w:p>
    <w:p w14:paraId="44C23C68" w14:textId="77777777" w:rsidR="007B7D0B" w:rsidRDefault="007B7D0B" w:rsidP="00A6635A">
      <w:pPr>
        <w:rPr>
          <w:rFonts w:ascii="Arial" w:hAnsi="Arial" w:cs="Arial"/>
          <w:b/>
        </w:rPr>
      </w:pPr>
    </w:p>
    <w:p w14:paraId="6A944B81" w14:textId="77777777" w:rsidR="007B7D0B" w:rsidRDefault="007B7D0B" w:rsidP="00A6635A">
      <w:pPr>
        <w:rPr>
          <w:rFonts w:ascii="Arial" w:hAnsi="Arial" w:cs="Arial"/>
          <w:b/>
        </w:rPr>
      </w:pPr>
    </w:p>
    <w:p w14:paraId="56217904" w14:textId="77777777" w:rsidR="007B7D0B" w:rsidRDefault="007B7D0B" w:rsidP="00A6635A">
      <w:pPr>
        <w:rPr>
          <w:rFonts w:ascii="Arial" w:hAnsi="Arial" w:cs="Arial"/>
          <w:b/>
        </w:rPr>
      </w:pPr>
    </w:p>
    <w:p w14:paraId="5D2C7088" w14:textId="77777777" w:rsidR="005F4619" w:rsidRPr="002965EC" w:rsidRDefault="00A6635A" w:rsidP="00A6635A">
      <w:pPr>
        <w:rPr>
          <w:rFonts w:ascii="Arial" w:hAnsi="Arial" w:cs="Arial"/>
          <w:b/>
        </w:rPr>
      </w:pPr>
      <w:r w:rsidRPr="002965EC">
        <w:rPr>
          <w:rFonts w:ascii="Arial" w:hAnsi="Arial" w:cs="Arial"/>
          <w:b/>
        </w:rPr>
        <w:lastRenderedPageBreak/>
        <w:t>Distribution of doctoral degrees awarded to female graduates at South African universities by classification of education subject matter, 2015.</w:t>
      </w:r>
    </w:p>
    <w:tbl>
      <w:tblPr>
        <w:tblStyle w:val="LightGrid-Accent1"/>
        <w:tblW w:w="9378" w:type="dxa"/>
        <w:jc w:val="center"/>
        <w:tblLook w:val="04A0" w:firstRow="1" w:lastRow="0" w:firstColumn="1" w:lastColumn="0" w:noHBand="0" w:noVBand="1"/>
      </w:tblPr>
      <w:tblGrid>
        <w:gridCol w:w="3383"/>
        <w:gridCol w:w="2107"/>
        <w:gridCol w:w="1980"/>
        <w:gridCol w:w="1908"/>
      </w:tblGrid>
      <w:tr w:rsidR="003B2FEA" w:rsidRPr="002965EC" w14:paraId="460015E3" w14:textId="77777777" w:rsidTr="009C38AB">
        <w:trPr>
          <w:cnfStyle w:val="100000000000" w:firstRow="1" w:lastRow="0" w:firstColumn="0" w:lastColumn="0" w:oddVBand="0" w:evenVBand="0" w:oddHBand="0" w:evenHBand="0" w:firstRowFirstColumn="0" w:firstRowLastColumn="0" w:lastRowFirstColumn="0" w:lastRowLastColumn="0"/>
          <w:trHeight w:val="880"/>
          <w:jc w:val="center"/>
        </w:trPr>
        <w:tc>
          <w:tcPr>
            <w:cnfStyle w:val="001000000000" w:firstRow="0" w:lastRow="0" w:firstColumn="1" w:lastColumn="0" w:oddVBand="0" w:evenVBand="0" w:oddHBand="0" w:evenHBand="0" w:firstRowFirstColumn="0" w:firstRowLastColumn="0" w:lastRowFirstColumn="0" w:lastRowLastColumn="0"/>
            <w:tcW w:w="3383" w:type="dxa"/>
            <w:noWrap/>
            <w:hideMark/>
          </w:tcPr>
          <w:p w14:paraId="0CE608B2" w14:textId="77777777" w:rsidR="003B2FEA" w:rsidRPr="002965EC" w:rsidRDefault="003B2FEA" w:rsidP="003B2FEA">
            <w:pPr>
              <w:spacing w:after="200" w:line="276" w:lineRule="auto"/>
              <w:rPr>
                <w:rFonts w:ascii="Arial" w:eastAsiaTheme="minorEastAsia" w:hAnsi="Arial" w:cs="Arial"/>
              </w:rPr>
            </w:pPr>
          </w:p>
        </w:tc>
        <w:tc>
          <w:tcPr>
            <w:tcW w:w="2107" w:type="dxa"/>
            <w:hideMark/>
          </w:tcPr>
          <w:p w14:paraId="6FE84EBB" w14:textId="77777777" w:rsidR="003B2FEA" w:rsidRPr="002965EC" w:rsidRDefault="003B2FEA" w:rsidP="007950C6">
            <w:pPr>
              <w:spacing w:after="200" w:line="276" w:lineRule="auto"/>
              <w:jc w:val="left"/>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Number of Female Doctoral Graduates</w:t>
            </w:r>
          </w:p>
        </w:tc>
        <w:tc>
          <w:tcPr>
            <w:tcW w:w="1980" w:type="dxa"/>
            <w:hideMark/>
          </w:tcPr>
          <w:p w14:paraId="3E21535F" w14:textId="77777777" w:rsidR="003B2FEA" w:rsidRPr="002965EC" w:rsidRDefault="003B2FEA" w:rsidP="007950C6">
            <w:pPr>
              <w:spacing w:after="200" w:line="276" w:lineRule="auto"/>
              <w:jc w:val="left"/>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Total Number of Doct</w:t>
            </w:r>
            <w:bookmarkStart w:id="27" w:name="_GoBack"/>
            <w:bookmarkEnd w:id="27"/>
            <w:r w:rsidRPr="002965EC">
              <w:rPr>
                <w:rFonts w:ascii="Arial" w:eastAsiaTheme="minorEastAsia" w:hAnsi="Arial" w:cs="Arial"/>
              </w:rPr>
              <w:t>oral Graduates</w:t>
            </w:r>
          </w:p>
        </w:tc>
        <w:tc>
          <w:tcPr>
            <w:tcW w:w="1908" w:type="dxa"/>
            <w:hideMark/>
          </w:tcPr>
          <w:p w14:paraId="1F882BAC" w14:textId="77777777" w:rsidR="003B2FEA" w:rsidRPr="002965EC" w:rsidRDefault="003B2FEA" w:rsidP="007950C6">
            <w:pPr>
              <w:spacing w:after="200" w:line="276" w:lineRule="auto"/>
              <w:jc w:val="left"/>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Proportion of Female Doctoral Graduates %</w:t>
            </w:r>
          </w:p>
        </w:tc>
      </w:tr>
      <w:tr w:rsidR="003B2FEA" w:rsidRPr="002965EC" w14:paraId="129B0196" w14:textId="77777777" w:rsidTr="009C38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83" w:type="dxa"/>
            <w:hideMark/>
          </w:tcPr>
          <w:p w14:paraId="0C548C58" w14:textId="77777777" w:rsidR="003B2FEA" w:rsidRPr="002965EC" w:rsidRDefault="003B2FEA" w:rsidP="003B2FEA">
            <w:pPr>
              <w:spacing w:after="200" w:line="276" w:lineRule="auto"/>
              <w:rPr>
                <w:rFonts w:ascii="Arial" w:eastAsiaTheme="minorEastAsia" w:hAnsi="Arial" w:cs="Arial"/>
              </w:rPr>
            </w:pPr>
            <w:r w:rsidRPr="002965EC">
              <w:rPr>
                <w:rFonts w:ascii="Arial" w:eastAsiaTheme="minorEastAsia" w:hAnsi="Arial" w:cs="Arial"/>
              </w:rPr>
              <w:t>SET</w:t>
            </w:r>
          </w:p>
        </w:tc>
        <w:tc>
          <w:tcPr>
            <w:tcW w:w="2107" w:type="dxa"/>
            <w:noWrap/>
            <w:hideMark/>
          </w:tcPr>
          <w:p w14:paraId="2298CE82" w14:textId="77777777" w:rsidR="003B2FEA" w:rsidRPr="002965EC" w:rsidRDefault="003B2FEA" w:rsidP="003B2FE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546</w:t>
            </w:r>
          </w:p>
        </w:tc>
        <w:tc>
          <w:tcPr>
            <w:tcW w:w="1980" w:type="dxa"/>
            <w:noWrap/>
            <w:hideMark/>
          </w:tcPr>
          <w:p w14:paraId="5B371017" w14:textId="77777777" w:rsidR="003B2FEA" w:rsidRPr="002965EC" w:rsidRDefault="003B2FEA" w:rsidP="003B2FE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1 263</w:t>
            </w:r>
          </w:p>
        </w:tc>
        <w:tc>
          <w:tcPr>
            <w:tcW w:w="1908" w:type="dxa"/>
            <w:noWrap/>
            <w:hideMark/>
          </w:tcPr>
          <w:p w14:paraId="6A712B67" w14:textId="77777777" w:rsidR="003B2FEA" w:rsidRPr="002965EC" w:rsidRDefault="003B2FEA" w:rsidP="003B2FE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43</w:t>
            </w:r>
          </w:p>
        </w:tc>
      </w:tr>
      <w:tr w:rsidR="003B2FEA" w:rsidRPr="002965EC" w14:paraId="0F3B883A" w14:textId="77777777" w:rsidTr="009C38A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83" w:type="dxa"/>
            <w:noWrap/>
            <w:hideMark/>
          </w:tcPr>
          <w:p w14:paraId="5F9891EF" w14:textId="77777777" w:rsidR="003B2FEA" w:rsidRPr="002965EC" w:rsidRDefault="003B2FEA" w:rsidP="003B2FEA">
            <w:pPr>
              <w:spacing w:after="200" w:line="276" w:lineRule="auto"/>
              <w:rPr>
                <w:rFonts w:ascii="Arial" w:eastAsiaTheme="minorEastAsia" w:hAnsi="Arial" w:cs="Arial"/>
              </w:rPr>
            </w:pPr>
            <w:r w:rsidRPr="002965EC">
              <w:rPr>
                <w:rFonts w:ascii="Arial" w:eastAsiaTheme="minorEastAsia" w:hAnsi="Arial" w:cs="Arial"/>
              </w:rPr>
              <w:t>Agricultural Sciences</w:t>
            </w:r>
          </w:p>
        </w:tc>
        <w:tc>
          <w:tcPr>
            <w:tcW w:w="2107" w:type="dxa"/>
            <w:noWrap/>
            <w:hideMark/>
          </w:tcPr>
          <w:p w14:paraId="7B2371BC" w14:textId="77777777" w:rsidR="003B2FEA" w:rsidRPr="002965EC" w:rsidRDefault="003B2FEA" w:rsidP="003B2FEA">
            <w:pPr>
              <w:spacing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2965EC">
              <w:rPr>
                <w:rFonts w:ascii="Arial" w:eastAsiaTheme="minorEastAsia" w:hAnsi="Arial" w:cs="Arial"/>
              </w:rPr>
              <w:t>61</w:t>
            </w:r>
          </w:p>
        </w:tc>
        <w:tc>
          <w:tcPr>
            <w:tcW w:w="1980" w:type="dxa"/>
            <w:noWrap/>
            <w:hideMark/>
          </w:tcPr>
          <w:p w14:paraId="19CF396D" w14:textId="77777777" w:rsidR="003B2FEA" w:rsidRPr="002965EC" w:rsidRDefault="003B2FEA" w:rsidP="003B2FEA">
            <w:pPr>
              <w:spacing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2965EC">
              <w:rPr>
                <w:rFonts w:ascii="Arial" w:eastAsiaTheme="minorEastAsia" w:hAnsi="Arial" w:cs="Arial"/>
              </w:rPr>
              <w:t>121</w:t>
            </w:r>
          </w:p>
        </w:tc>
        <w:tc>
          <w:tcPr>
            <w:tcW w:w="1908" w:type="dxa"/>
            <w:noWrap/>
            <w:hideMark/>
          </w:tcPr>
          <w:p w14:paraId="3DDAD574" w14:textId="77777777" w:rsidR="003B2FEA" w:rsidRPr="002965EC" w:rsidRDefault="003B2FEA" w:rsidP="003B2FEA">
            <w:pPr>
              <w:spacing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2965EC">
              <w:rPr>
                <w:rFonts w:ascii="Arial" w:eastAsiaTheme="minorEastAsia" w:hAnsi="Arial" w:cs="Arial"/>
              </w:rPr>
              <w:t>50</w:t>
            </w:r>
          </w:p>
        </w:tc>
      </w:tr>
      <w:tr w:rsidR="003B2FEA" w:rsidRPr="002965EC" w14:paraId="55C84F4B" w14:textId="77777777" w:rsidTr="009C38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83" w:type="dxa"/>
            <w:noWrap/>
            <w:hideMark/>
          </w:tcPr>
          <w:p w14:paraId="79E5DEAD" w14:textId="77777777" w:rsidR="003B2FEA" w:rsidRPr="002965EC" w:rsidRDefault="003B2FEA" w:rsidP="003B2FEA">
            <w:pPr>
              <w:spacing w:after="200" w:line="276" w:lineRule="auto"/>
              <w:rPr>
                <w:rFonts w:ascii="Arial" w:eastAsiaTheme="minorEastAsia" w:hAnsi="Arial" w:cs="Arial"/>
              </w:rPr>
            </w:pPr>
            <w:r w:rsidRPr="002965EC">
              <w:rPr>
                <w:rFonts w:ascii="Arial" w:eastAsiaTheme="minorEastAsia" w:hAnsi="Arial" w:cs="Arial"/>
              </w:rPr>
              <w:t>Computer and information sciences</w:t>
            </w:r>
          </w:p>
        </w:tc>
        <w:tc>
          <w:tcPr>
            <w:tcW w:w="2107" w:type="dxa"/>
            <w:noWrap/>
            <w:hideMark/>
          </w:tcPr>
          <w:p w14:paraId="029C893D" w14:textId="77777777" w:rsidR="003B2FEA" w:rsidRPr="002965EC" w:rsidRDefault="003B2FEA" w:rsidP="003B2FE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16</w:t>
            </w:r>
          </w:p>
        </w:tc>
        <w:tc>
          <w:tcPr>
            <w:tcW w:w="1980" w:type="dxa"/>
            <w:noWrap/>
            <w:hideMark/>
          </w:tcPr>
          <w:p w14:paraId="4A499C56" w14:textId="77777777" w:rsidR="003B2FEA" w:rsidRPr="002965EC" w:rsidRDefault="003B2FEA" w:rsidP="003B2FE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51</w:t>
            </w:r>
          </w:p>
        </w:tc>
        <w:tc>
          <w:tcPr>
            <w:tcW w:w="1908" w:type="dxa"/>
            <w:noWrap/>
            <w:hideMark/>
          </w:tcPr>
          <w:p w14:paraId="04FF6B69" w14:textId="77777777" w:rsidR="003B2FEA" w:rsidRPr="002965EC" w:rsidRDefault="003B2FEA" w:rsidP="003B2FE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31</w:t>
            </w:r>
          </w:p>
        </w:tc>
      </w:tr>
      <w:tr w:rsidR="003B2FEA" w:rsidRPr="002965EC" w14:paraId="3DEBA893" w14:textId="77777777" w:rsidTr="009C38A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83" w:type="dxa"/>
            <w:noWrap/>
            <w:hideMark/>
          </w:tcPr>
          <w:p w14:paraId="0096DA46" w14:textId="77777777" w:rsidR="003B2FEA" w:rsidRPr="002965EC" w:rsidRDefault="003B2FEA" w:rsidP="003B2FEA">
            <w:pPr>
              <w:spacing w:after="200" w:line="276" w:lineRule="auto"/>
              <w:rPr>
                <w:rFonts w:ascii="Arial" w:eastAsiaTheme="minorEastAsia" w:hAnsi="Arial" w:cs="Arial"/>
              </w:rPr>
            </w:pPr>
            <w:r w:rsidRPr="002965EC">
              <w:rPr>
                <w:rFonts w:ascii="Arial" w:eastAsiaTheme="minorEastAsia" w:hAnsi="Arial" w:cs="Arial"/>
              </w:rPr>
              <w:t>Engineering</w:t>
            </w:r>
          </w:p>
        </w:tc>
        <w:tc>
          <w:tcPr>
            <w:tcW w:w="2107" w:type="dxa"/>
            <w:noWrap/>
            <w:hideMark/>
          </w:tcPr>
          <w:p w14:paraId="364063BB" w14:textId="77777777" w:rsidR="003B2FEA" w:rsidRPr="002965EC" w:rsidRDefault="003B2FEA" w:rsidP="003B2FEA">
            <w:pPr>
              <w:spacing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2965EC">
              <w:rPr>
                <w:rFonts w:ascii="Arial" w:eastAsiaTheme="minorEastAsia" w:hAnsi="Arial" w:cs="Arial"/>
              </w:rPr>
              <w:t>36</w:t>
            </w:r>
          </w:p>
        </w:tc>
        <w:tc>
          <w:tcPr>
            <w:tcW w:w="1980" w:type="dxa"/>
            <w:noWrap/>
            <w:hideMark/>
          </w:tcPr>
          <w:p w14:paraId="5F3ECE88" w14:textId="77777777" w:rsidR="003B2FEA" w:rsidRPr="002965EC" w:rsidRDefault="003B2FEA" w:rsidP="003B2FEA">
            <w:pPr>
              <w:spacing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2965EC">
              <w:rPr>
                <w:rFonts w:ascii="Arial" w:eastAsiaTheme="minorEastAsia" w:hAnsi="Arial" w:cs="Arial"/>
              </w:rPr>
              <w:t>201</w:t>
            </w:r>
          </w:p>
        </w:tc>
        <w:tc>
          <w:tcPr>
            <w:tcW w:w="1908" w:type="dxa"/>
            <w:noWrap/>
            <w:hideMark/>
          </w:tcPr>
          <w:p w14:paraId="0786154C" w14:textId="77777777" w:rsidR="003B2FEA" w:rsidRPr="002965EC" w:rsidRDefault="003B2FEA" w:rsidP="003B2FEA">
            <w:pPr>
              <w:spacing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2965EC">
              <w:rPr>
                <w:rFonts w:ascii="Arial" w:eastAsiaTheme="minorEastAsia" w:hAnsi="Arial" w:cs="Arial"/>
              </w:rPr>
              <w:t>18</w:t>
            </w:r>
          </w:p>
        </w:tc>
      </w:tr>
      <w:tr w:rsidR="003B2FEA" w:rsidRPr="002965EC" w14:paraId="76096FBC" w14:textId="77777777" w:rsidTr="009C38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83" w:type="dxa"/>
            <w:noWrap/>
            <w:hideMark/>
          </w:tcPr>
          <w:p w14:paraId="14AEF070" w14:textId="77777777" w:rsidR="003B2FEA" w:rsidRPr="002965EC" w:rsidRDefault="003B2FEA" w:rsidP="003B2FEA">
            <w:pPr>
              <w:spacing w:after="200" w:line="276" w:lineRule="auto"/>
              <w:rPr>
                <w:rFonts w:ascii="Arial" w:eastAsiaTheme="minorEastAsia" w:hAnsi="Arial" w:cs="Arial"/>
              </w:rPr>
            </w:pPr>
            <w:r w:rsidRPr="002965EC">
              <w:rPr>
                <w:rFonts w:ascii="Arial" w:eastAsiaTheme="minorEastAsia" w:hAnsi="Arial" w:cs="Arial"/>
              </w:rPr>
              <w:t>Health and related clinical sciences</w:t>
            </w:r>
          </w:p>
        </w:tc>
        <w:tc>
          <w:tcPr>
            <w:tcW w:w="2107" w:type="dxa"/>
            <w:noWrap/>
            <w:hideMark/>
          </w:tcPr>
          <w:p w14:paraId="164AB4C8" w14:textId="77777777" w:rsidR="003B2FEA" w:rsidRPr="002965EC" w:rsidRDefault="003B2FEA" w:rsidP="003B2FE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146</w:t>
            </w:r>
          </w:p>
        </w:tc>
        <w:tc>
          <w:tcPr>
            <w:tcW w:w="1980" w:type="dxa"/>
            <w:noWrap/>
            <w:hideMark/>
          </w:tcPr>
          <w:p w14:paraId="4B062A0F" w14:textId="77777777" w:rsidR="003B2FEA" w:rsidRPr="002965EC" w:rsidRDefault="003B2FEA" w:rsidP="003B2FE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253</w:t>
            </w:r>
          </w:p>
        </w:tc>
        <w:tc>
          <w:tcPr>
            <w:tcW w:w="1908" w:type="dxa"/>
            <w:noWrap/>
            <w:hideMark/>
          </w:tcPr>
          <w:p w14:paraId="46884D47" w14:textId="77777777" w:rsidR="003B2FEA" w:rsidRPr="002965EC" w:rsidRDefault="003B2FEA" w:rsidP="003B2FE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58</w:t>
            </w:r>
          </w:p>
        </w:tc>
      </w:tr>
      <w:tr w:rsidR="003B2FEA" w:rsidRPr="002965EC" w14:paraId="5D3255FE" w14:textId="77777777" w:rsidTr="009C38A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83" w:type="dxa"/>
            <w:noWrap/>
            <w:hideMark/>
          </w:tcPr>
          <w:p w14:paraId="6310826B" w14:textId="77777777" w:rsidR="003B2FEA" w:rsidRPr="002965EC" w:rsidRDefault="003B2FEA" w:rsidP="003B2FEA">
            <w:pPr>
              <w:spacing w:after="200" w:line="276" w:lineRule="auto"/>
              <w:rPr>
                <w:rFonts w:ascii="Arial" w:eastAsiaTheme="minorEastAsia" w:hAnsi="Arial" w:cs="Arial"/>
              </w:rPr>
            </w:pPr>
            <w:r w:rsidRPr="002965EC">
              <w:rPr>
                <w:rFonts w:ascii="Arial" w:eastAsiaTheme="minorEastAsia" w:hAnsi="Arial" w:cs="Arial"/>
              </w:rPr>
              <w:t>Life sciences</w:t>
            </w:r>
          </w:p>
        </w:tc>
        <w:tc>
          <w:tcPr>
            <w:tcW w:w="2107" w:type="dxa"/>
            <w:noWrap/>
            <w:hideMark/>
          </w:tcPr>
          <w:p w14:paraId="0B683E48" w14:textId="77777777" w:rsidR="003B2FEA" w:rsidRPr="002965EC" w:rsidRDefault="003B2FEA" w:rsidP="003B2FEA">
            <w:pPr>
              <w:spacing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2965EC">
              <w:rPr>
                <w:rFonts w:ascii="Arial" w:eastAsiaTheme="minorEastAsia" w:hAnsi="Arial" w:cs="Arial"/>
              </w:rPr>
              <w:t>170</w:t>
            </w:r>
          </w:p>
        </w:tc>
        <w:tc>
          <w:tcPr>
            <w:tcW w:w="1980" w:type="dxa"/>
            <w:noWrap/>
            <w:hideMark/>
          </w:tcPr>
          <w:p w14:paraId="392A09DA" w14:textId="77777777" w:rsidR="003B2FEA" w:rsidRPr="002965EC" w:rsidRDefault="003B2FEA" w:rsidP="003B2FEA">
            <w:pPr>
              <w:spacing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2965EC">
              <w:rPr>
                <w:rFonts w:ascii="Arial" w:eastAsiaTheme="minorEastAsia" w:hAnsi="Arial" w:cs="Arial"/>
              </w:rPr>
              <w:t>293</w:t>
            </w:r>
          </w:p>
        </w:tc>
        <w:tc>
          <w:tcPr>
            <w:tcW w:w="1908" w:type="dxa"/>
            <w:noWrap/>
            <w:hideMark/>
          </w:tcPr>
          <w:p w14:paraId="1CC8C4CB" w14:textId="77777777" w:rsidR="003B2FEA" w:rsidRPr="002965EC" w:rsidRDefault="003B2FEA" w:rsidP="003B2FEA">
            <w:pPr>
              <w:spacing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2965EC">
              <w:rPr>
                <w:rFonts w:ascii="Arial" w:eastAsiaTheme="minorEastAsia" w:hAnsi="Arial" w:cs="Arial"/>
              </w:rPr>
              <w:t>58</w:t>
            </w:r>
          </w:p>
        </w:tc>
      </w:tr>
      <w:tr w:rsidR="003B2FEA" w:rsidRPr="002965EC" w14:paraId="77235C17" w14:textId="77777777" w:rsidTr="009C38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83" w:type="dxa"/>
            <w:noWrap/>
            <w:hideMark/>
          </w:tcPr>
          <w:p w14:paraId="6F19DE97" w14:textId="77777777" w:rsidR="003B2FEA" w:rsidRPr="002965EC" w:rsidRDefault="003B2FEA" w:rsidP="003B2FEA">
            <w:pPr>
              <w:spacing w:after="200" w:line="276" w:lineRule="auto"/>
              <w:rPr>
                <w:rFonts w:ascii="Arial" w:eastAsiaTheme="minorEastAsia" w:hAnsi="Arial" w:cs="Arial"/>
              </w:rPr>
            </w:pPr>
            <w:r w:rsidRPr="002965EC">
              <w:rPr>
                <w:rFonts w:ascii="Arial" w:eastAsiaTheme="minorEastAsia" w:hAnsi="Arial" w:cs="Arial"/>
              </w:rPr>
              <w:t xml:space="preserve">Physical sciences </w:t>
            </w:r>
          </w:p>
        </w:tc>
        <w:tc>
          <w:tcPr>
            <w:tcW w:w="2107" w:type="dxa"/>
            <w:noWrap/>
            <w:hideMark/>
          </w:tcPr>
          <w:p w14:paraId="4E7D4795" w14:textId="77777777" w:rsidR="003B2FEA" w:rsidRPr="002965EC" w:rsidRDefault="003B2FEA" w:rsidP="003B2FE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92</w:t>
            </w:r>
          </w:p>
        </w:tc>
        <w:tc>
          <w:tcPr>
            <w:tcW w:w="1980" w:type="dxa"/>
            <w:noWrap/>
            <w:hideMark/>
          </w:tcPr>
          <w:p w14:paraId="372FFB5E" w14:textId="77777777" w:rsidR="003B2FEA" w:rsidRPr="002965EC" w:rsidRDefault="003B2FEA" w:rsidP="003B2FE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258</w:t>
            </w:r>
          </w:p>
        </w:tc>
        <w:tc>
          <w:tcPr>
            <w:tcW w:w="1908" w:type="dxa"/>
            <w:noWrap/>
            <w:hideMark/>
          </w:tcPr>
          <w:p w14:paraId="46CB0FA1" w14:textId="77777777" w:rsidR="003B2FEA" w:rsidRPr="002965EC" w:rsidRDefault="003B2FEA" w:rsidP="003B2FE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36</w:t>
            </w:r>
          </w:p>
        </w:tc>
      </w:tr>
      <w:tr w:rsidR="003B2FEA" w:rsidRPr="002965EC" w14:paraId="44A9BF5D" w14:textId="77777777" w:rsidTr="009C38A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83" w:type="dxa"/>
            <w:noWrap/>
            <w:hideMark/>
          </w:tcPr>
          <w:p w14:paraId="2290DEEF" w14:textId="77777777" w:rsidR="003B2FEA" w:rsidRPr="002965EC" w:rsidRDefault="003B2FEA" w:rsidP="003B2FEA">
            <w:pPr>
              <w:spacing w:after="200" w:line="276" w:lineRule="auto"/>
              <w:rPr>
                <w:rFonts w:ascii="Arial" w:eastAsiaTheme="minorEastAsia" w:hAnsi="Arial" w:cs="Arial"/>
              </w:rPr>
            </w:pPr>
            <w:r w:rsidRPr="002965EC">
              <w:rPr>
                <w:rFonts w:ascii="Arial" w:eastAsiaTheme="minorEastAsia" w:hAnsi="Arial" w:cs="Arial"/>
              </w:rPr>
              <w:t>Mathematics and statistics</w:t>
            </w:r>
          </w:p>
        </w:tc>
        <w:tc>
          <w:tcPr>
            <w:tcW w:w="2107" w:type="dxa"/>
            <w:noWrap/>
            <w:hideMark/>
          </w:tcPr>
          <w:p w14:paraId="2AC544FA" w14:textId="77777777" w:rsidR="003B2FEA" w:rsidRPr="002965EC" w:rsidRDefault="003B2FEA" w:rsidP="003B2FEA">
            <w:pPr>
              <w:spacing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2965EC">
              <w:rPr>
                <w:rFonts w:ascii="Arial" w:eastAsiaTheme="minorEastAsia" w:hAnsi="Arial" w:cs="Arial"/>
              </w:rPr>
              <w:t>15</w:t>
            </w:r>
          </w:p>
        </w:tc>
        <w:tc>
          <w:tcPr>
            <w:tcW w:w="1980" w:type="dxa"/>
            <w:noWrap/>
            <w:hideMark/>
          </w:tcPr>
          <w:p w14:paraId="6CF3EF9A" w14:textId="77777777" w:rsidR="003B2FEA" w:rsidRPr="002965EC" w:rsidRDefault="003B2FEA" w:rsidP="003B2FEA">
            <w:pPr>
              <w:spacing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2965EC">
              <w:rPr>
                <w:rFonts w:ascii="Arial" w:eastAsiaTheme="minorEastAsia" w:hAnsi="Arial" w:cs="Arial"/>
              </w:rPr>
              <w:t>66</w:t>
            </w:r>
          </w:p>
        </w:tc>
        <w:tc>
          <w:tcPr>
            <w:tcW w:w="1908" w:type="dxa"/>
            <w:noWrap/>
            <w:hideMark/>
          </w:tcPr>
          <w:p w14:paraId="653BDD68" w14:textId="77777777" w:rsidR="003B2FEA" w:rsidRPr="002965EC" w:rsidRDefault="003B2FEA" w:rsidP="003B2FEA">
            <w:pPr>
              <w:spacing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2965EC">
              <w:rPr>
                <w:rFonts w:ascii="Arial" w:eastAsiaTheme="minorEastAsia" w:hAnsi="Arial" w:cs="Arial"/>
              </w:rPr>
              <w:t>23</w:t>
            </w:r>
          </w:p>
        </w:tc>
      </w:tr>
      <w:tr w:rsidR="003B2FEA" w:rsidRPr="002965EC" w14:paraId="611629C8" w14:textId="77777777" w:rsidTr="009C38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83" w:type="dxa"/>
            <w:noWrap/>
            <w:hideMark/>
          </w:tcPr>
          <w:p w14:paraId="3F1F31CB" w14:textId="77777777" w:rsidR="003B2FEA" w:rsidRPr="002965EC" w:rsidRDefault="003B2FEA" w:rsidP="003B2FEA">
            <w:pPr>
              <w:spacing w:after="200" w:line="276" w:lineRule="auto"/>
              <w:rPr>
                <w:rFonts w:ascii="Arial" w:eastAsiaTheme="minorEastAsia" w:hAnsi="Arial" w:cs="Arial"/>
              </w:rPr>
            </w:pPr>
            <w:r w:rsidRPr="002965EC">
              <w:rPr>
                <w:rFonts w:ascii="Arial" w:eastAsiaTheme="minorEastAsia" w:hAnsi="Arial" w:cs="Arial"/>
              </w:rPr>
              <w:t>Business and commerce</w:t>
            </w:r>
          </w:p>
        </w:tc>
        <w:tc>
          <w:tcPr>
            <w:tcW w:w="2107" w:type="dxa"/>
            <w:noWrap/>
            <w:hideMark/>
          </w:tcPr>
          <w:p w14:paraId="2AC61EE0" w14:textId="77777777" w:rsidR="003B2FEA" w:rsidRPr="002965EC" w:rsidRDefault="003B2FEA" w:rsidP="003B2FE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89</w:t>
            </w:r>
          </w:p>
        </w:tc>
        <w:tc>
          <w:tcPr>
            <w:tcW w:w="1980" w:type="dxa"/>
            <w:noWrap/>
            <w:hideMark/>
          </w:tcPr>
          <w:p w14:paraId="0D9B40F5" w14:textId="77777777" w:rsidR="003B2FEA" w:rsidRPr="002965EC" w:rsidRDefault="003B2FEA" w:rsidP="003B2FE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260</w:t>
            </w:r>
          </w:p>
        </w:tc>
        <w:tc>
          <w:tcPr>
            <w:tcW w:w="1908" w:type="dxa"/>
            <w:noWrap/>
            <w:hideMark/>
          </w:tcPr>
          <w:p w14:paraId="1817B8B8" w14:textId="77777777" w:rsidR="003B2FEA" w:rsidRPr="002965EC" w:rsidRDefault="003B2FEA" w:rsidP="003B2FE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34</w:t>
            </w:r>
          </w:p>
        </w:tc>
      </w:tr>
      <w:tr w:rsidR="003B2FEA" w:rsidRPr="002965EC" w14:paraId="2FF43B9B" w14:textId="77777777" w:rsidTr="009C38A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83" w:type="dxa"/>
            <w:noWrap/>
            <w:hideMark/>
          </w:tcPr>
          <w:p w14:paraId="2A4DCDAD" w14:textId="77777777" w:rsidR="003B2FEA" w:rsidRPr="002965EC" w:rsidRDefault="003B2FEA" w:rsidP="003B2FEA">
            <w:pPr>
              <w:spacing w:after="200" w:line="276" w:lineRule="auto"/>
              <w:rPr>
                <w:rFonts w:ascii="Arial" w:eastAsiaTheme="minorEastAsia" w:hAnsi="Arial" w:cs="Arial"/>
              </w:rPr>
            </w:pPr>
            <w:r w:rsidRPr="002965EC">
              <w:rPr>
                <w:rFonts w:ascii="Arial" w:eastAsiaTheme="minorEastAsia" w:hAnsi="Arial" w:cs="Arial"/>
              </w:rPr>
              <w:t>Education</w:t>
            </w:r>
          </w:p>
        </w:tc>
        <w:tc>
          <w:tcPr>
            <w:tcW w:w="2107" w:type="dxa"/>
            <w:noWrap/>
            <w:hideMark/>
          </w:tcPr>
          <w:p w14:paraId="05D82E88" w14:textId="77777777" w:rsidR="003B2FEA" w:rsidRPr="002965EC" w:rsidRDefault="003B2FEA" w:rsidP="003B2FEA">
            <w:pPr>
              <w:spacing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2965EC">
              <w:rPr>
                <w:rFonts w:ascii="Arial" w:eastAsiaTheme="minorEastAsia" w:hAnsi="Arial" w:cs="Arial"/>
              </w:rPr>
              <w:t>159</w:t>
            </w:r>
          </w:p>
        </w:tc>
        <w:tc>
          <w:tcPr>
            <w:tcW w:w="1980" w:type="dxa"/>
            <w:noWrap/>
            <w:hideMark/>
          </w:tcPr>
          <w:p w14:paraId="517DD239" w14:textId="77777777" w:rsidR="003B2FEA" w:rsidRPr="002965EC" w:rsidRDefault="003B2FEA" w:rsidP="003B2FEA">
            <w:pPr>
              <w:spacing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2965EC">
              <w:rPr>
                <w:rFonts w:ascii="Arial" w:eastAsiaTheme="minorEastAsia" w:hAnsi="Arial" w:cs="Arial"/>
              </w:rPr>
              <w:t>303</w:t>
            </w:r>
          </w:p>
        </w:tc>
        <w:tc>
          <w:tcPr>
            <w:tcW w:w="1908" w:type="dxa"/>
            <w:noWrap/>
            <w:hideMark/>
          </w:tcPr>
          <w:p w14:paraId="62F6C519" w14:textId="77777777" w:rsidR="003B2FEA" w:rsidRPr="002965EC" w:rsidRDefault="003B2FEA" w:rsidP="003B2FEA">
            <w:pPr>
              <w:spacing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2965EC">
              <w:rPr>
                <w:rFonts w:ascii="Arial" w:eastAsiaTheme="minorEastAsia" w:hAnsi="Arial" w:cs="Arial"/>
              </w:rPr>
              <w:t>52</w:t>
            </w:r>
          </w:p>
        </w:tc>
      </w:tr>
      <w:tr w:rsidR="003B2FEA" w:rsidRPr="002965EC" w14:paraId="39DDC269" w14:textId="77777777" w:rsidTr="009C38A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83" w:type="dxa"/>
            <w:noWrap/>
            <w:hideMark/>
          </w:tcPr>
          <w:p w14:paraId="479F75E3" w14:textId="77777777" w:rsidR="003B2FEA" w:rsidRPr="002965EC" w:rsidRDefault="003B2FEA" w:rsidP="003B2FEA">
            <w:pPr>
              <w:spacing w:after="200" w:line="276" w:lineRule="auto"/>
              <w:rPr>
                <w:rFonts w:ascii="Arial" w:eastAsiaTheme="minorEastAsia" w:hAnsi="Arial" w:cs="Arial"/>
              </w:rPr>
            </w:pPr>
            <w:r w:rsidRPr="002965EC">
              <w:rPr>
                <w:rFonts w:ascii="Arial" w:eastAsiaTheme="minorEastAsia" w:hAnsi="Arial" w:cs="Arial"/>
              </w:rPr>
              <w:t>Other humanities</w:t>
            </w:r>
          </w:p>
        </w:tc>
        <w:tc>
          <w:tcPr>
            <w:tcW w:w="2107" w:type="dxa"/>
            <w:noWrap/>
            <w:hideMark/>
          </w:tcPr>
          <w:p w14:paraId="4B7A515E" w14:textId="77777777" w:rsidR="003B2FEA" w:rsidRPr="002965EC" w:rsidRDefault="003B2FEA" w:rsidP="003B2FE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325</w:t>
            </w:r>
          </w:p>
        </w:tc>
        <w:tc>
          <w:tcPr>
            <w:tcW w:w="1980" w:type="dxa"/>
            <w:noWrap/>
            <w:hideMark/>
          </w:tcPr>
          <w:p w14:paraId="2E905D10" w14:textId="77777777" w:rsidR="003B2FEA" w:rsidRPr="002965EC" w:rsidRDefault="003B2FEA" w:rsidP="003B2FE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705</w:t>
            </w:r>
          </w:p>
        </w:tc>
        <w:tc>
          <w:tcPr>
            <w:tcW w:w="1908" w:type="dxa"/>
            <w:noWrap/>
            <w:hideMark/>
          </w:tcPr>
          <w:p w14:paraId="734F0773" w14:textId="77777777" w:rsidR="003B2FEA" w:rsidRPr="002965EC" w:rsidRDefault="003B2FEA" w:rsidP="003B2FE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2965EC">
              <w:rPr>
                <w:rFonts w:ascii="Arial" w:eastAsiaTheme="minorEastAsia" w:hAnsi="Arial" w:cs="Arial"/>
              </w:rPr>
              <w:t>46</w:t>
            </w:r>
          </w:p>
        </w:tc>
      </w:tr>
      <w:tr w:rsidR="003B2FEA" w:rsidRPr="002965EC" w14:paraId="144B3CD3" w14:textId="77777777" w:rsidTr="009C38A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83" w:type="dxa"/>
            <w:noWrap/>
            <w:hideMark/>
          </w:tcPr>
          <w:p w14:paraId="0B7804E6" w14:textId="77777777" w:rsidR="003B2FEA" w:rsidRPr="002965EC" w:rsidRDefault="003B2FEA" w:rsidP="003B2FEA">
            <w:pPr>
              <w:spacing w:after="200" w:line="276" w:lineRule="auto"/>
              <w:rPr>
                <w:rFonts w:ascii="Arial" w:eastAsiaTheme="minorEastAsia" w:hAnsi="Arial" w:cs="Arial"/>
              </w:rPr>
            </w:pPr>
            <w:r w:rsidRPr="002965EC">
              <w:rPr>
                <w:rFonts w:ascii="Arial" w:eastAsiaTheme="minorEastAsia" w:hAnsi="Arial" w:cs="Arial"/>
              </w:rPr>
              <w:t xml:space="preserve">Total </w:t>
            </w:r>
          </w:p>
        </w:tc>
        <w:tc>
          <w:tcPr>
            <w:tcW w:w="2107" w:type="dxa"/>
            <w:noWrap/>
            <w:hideMark/>
          </w:tcPr>
          <w:p w14:paraId="16609B5D" w14:textId="77777777" w:rsidR="003B2FEA" w:rsidRPr="002965EC" w:rsidRDefault="003B2FEA" w:rsidP="003B2FEA">
            <w:pPr>
              <w:spacing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2965EC">
              <w:rPr>
                <w:rFonts w:ascii="Arial" w:eastAsiaTheme="minorEastAsia" w:hAnsi="Arial" w:cs="Arial"/>
              </w:rPr>
              <w:t xml:space="preserve">1 118 </w:t>
            </w:r>
          </w:p>
        </w:tc>
        <w:tc>
          <w:tcPr>
            <w:tcW w:w="1980" w:type="dxa"/>
            <w:noWrap/>
            <w:hideMark/>
          </w:tcPr>
          <w:p w14:paraId="1334EDEB" w14:textId="77777777" w:rsidR="003B2FEA" w:rsidRPr="002965EC" w:rsidRDefault="003B2FEA" w:rsidP="003B2FEA">
            <w:pPr>
              <w:spacing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2965EC">
              <w:rPr>
                <w:rFonts w:ascii="Arial" w:eastAsiaTheme="minorEastAsia" w:hAnsi="Arial" w:cs="Arial"/>
              </w:rPr>
              <w:t>2 530</w:t>
            </w:r>
          </w:p>
        </w:tc>
        <w:tc>
          <w:tcPr>
            <w:tcW w:w="1908" w:type="dxa"/>
            <w:noWrap/>
            <w:hideMark/>
          </w:tcPr>
          <w:p w14:paraId="70980D83" w14:textId="77777777" w:rsidR="003B2FEA" w:rsidRPr="002965EC" w:rsidRDefault="003B2FEA" w:rsidP="003B2FEA">
            <w:pPr>
              <w:spacing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2965EC">
              <w:rPr>
                <w:rFonts w:ascii="Arial" w:eastAsiaTheme="minorEastAsia" w:hAnsi="Arial" w:cs="Arial"/>
              </w:rPr>
              <w:t>44</w:t>
            </w:r>
          </w:p>
        </w:tc>
      </w:tr>
    </w:tbl>
    <w:p w14:paraId="2569233A" w14:textId="77777777" w:rsidR="00172C5E" w:rsidRPr="002965EC" w:rsidRDefault="003B2FEA" w:rsidP="009C0024">
      <w:pPr>
        <w:rPr>
          <w:rFonts w:ascii="Arial" w:hAnsi="Arial" w:cs="Arial"/>
        </w:rPr>
      </w:pPr>
      <w:r w:rsidRPr="002965EC">
        <w:rPr>
          <w:rFonts w:ascii="Arial" w:hAnsi="Arial" w:cs="Arial"/>
        </w:rPr>
        <w:t>Source: HEMIS (Department of Higher Education and Training)</w:t>
      </w:r>
    </w:p>
    <w:p w14:paraId="4D7920DE" w14:textId="77777777" w:rsidR="00A6635A" w:rsidRPr="002965EC" w:rsidRDefault="00A6635A" w:rsidP="009C0024">
      <w:pPr>
        <w:rPr>
          <w:rFonts w:ascii="Arial" w:hAnsi="Arial" w:cs="Arial"/>
        </w:rPr>
      </w:pPr>
    </w:p>
    <w:p w14:paraId="3AEEB25A" w14:textId="77777777" w:rsidR="00CE2708" w:rsidRPr="002965EC" w:rsidRDefault="00CE2708" w:rsidP="00CE2708">
      <w:pPr>
        <w:rPr>
          <w:rFonts w:ascii="Arial" w:hAnsi="Arial" w:cs="Arial"/>
          <w:b/>
        </w:rPr>
      </w:pPr>
      <w:r w:rsidRPr="002965EC">
        <w:rPr>
          <w:rFonts w:ascii="Arial" w:hAnsi="Arial" w:cs="Arial"/>
          <w:b/>
        </w:rPr>
        <w:t>School nutrition</w:t>
      </w:r>
    </w:p>
    <w:p w14:paraId="723CE808" w14:textId="77777777" w:rsidR="00941CFC" w:rsidRPr="002965EC" w:rsidRDefault="00941CFC" w:rsidP="00CE2708">
      <w:pPr>
        <w:rPr>
          <w:rFonts w:ascii="Arial" w:hAnsi="Arial" w:cs="Arial"/>
        </w:rPr>
      </w:pPr>
      <w:r w:rsidRPr="002965EC">
        <w:rPr>
          <w:rFonts w:ascii="Arial" w:hAnsi="Arial" w:cs="Arial"/>
        </w:rPr>
        <w:t xml:space="preserve">The National </w:t>
      </w:r>
      <w:r w:rsidRPr="002965EC">
        <w:rPr>
          <w:rFonts w:ascii="Arial" w:hAnsi="Arial" w:cs="Arial"/>
          <w:b/>
          <w:bCs/>
        </w:rPr>
        <w:t>School Nutrition Programme</w:t>
      </w:r>
      <w:r w:rsidRPr="002965EC">
        <w:rPr>
          <w:rFonts w:ascii="Arial" w:hAnsi="Arial" w:cs="Arial"/>
        </w:rPr>
        <w:t xml:space="preserve"> aims to enhance the learning capacity of learners through the provision of a healthy meal at </w:t>
      </w:r>
      <w:r w:rsidRPr="002965EC">
        <w:rPr>
          <w:rFonts w:ascii="Arial" w:hAnsi="Arial" w:cs="Arial"/>
          <w:bCs/>
        </w:rPr>
        <w:t>schools (Department of Basic Education, 2019)</w:t>
      </w:r>
      <w:r w:rsidRPr="002965EC">
        <w:rPr>
          <w:rFonts w:ascii="Arial" w:hAnsi="Arial" w:cs="Arial"/>
        </w:rPr>
        <w:t xml:space="preserve">. The department further states that where it is implemented there has been improved punctuality, regular </w:t>
      </w:r>
      <w:r w:rsidRPr="002965EC">
        <w:rPr>
          <w:rFonts w:ascii="Arial" w:hAnsi="Arial" w:cs="Arial"/>
          <w:bCs/>
        </w:rPr>
        <w:t>school</w:t>
      </w:r>
      <w:r w:rsidRPr="002965EC">
        <w:rPr>
          <w:rFonts w:ascii="Arial" w:hAnsi="Arial" w:cs="Arial"/>
        </w:rPr>
        <w:t xml:space="preserve"> attendance, concentration and the general wellbeing of participating learners. The figure below shows that the Limpopo province has the highest percentage of learners benefiting from the school programme.  The </w:t>
      </w:r>
      <w:r w:rsidRPr="002965EC">
        <w:rPr>
          <w:rFonts w:ascii="Arial" w:hAnsi="Arial" w:cs="Arial"/>
        </w:rPr>
        <w:lastRenderedPageBreak/>
        <w:t>graph also shows that the programme has increased annually and in 2016, 81,4% of learners were reached by the programme.</w:t>
      </w:r>
    </w:p>
    <w:p w14:paraId="259E63BC" w14:textId="77777777" w:rsidR="00CE2708" w:rsidRPr="002965EC" w:rsidRDefault="00CE2708" w:rsidP="00CE2708">
      <w:pPr>
        <w:rPr>
          <w:rFonts w:ascii="Arial" w:hAnsi="Arial" w:cs="Arial"/>
        </w:rPr>
      </w:pPr>
      <w:r w:rsidRPr="002965EC">
        <w:rPr>
          <w:rFonts w:ascii="Arial" w:hAnsi="Arial" w:cs="Arial"/>
          <w:noProof/>
          <w:lang w:val="en-ZA" w:eastAsia="en-ZA"/>
        </w:rPr>
        <w:drawing>
          <wp:inline distT="0" distB="0" distL="0" distR="0" wp14:anchorId="36EF52D6" wp14:editId="1649A300">
            <wp:extent cx="5943600" cy="3520440"/>
            <wp:effectExtent l="0" t="0" r="19050" b="228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64DB45" w14:textId="77777777" w:rsidR="00CE2708" w:rsidRPr="002965EC" w:rsidRDefault="00CE2708" w:rsidP="00CE2708">
      <w:pPr>
        <w:rPr>
          <w:rFonts w:ascii="Arial" w:hAnsi="Arial" w:cs="Arial"/>
        </w:rPr>
      </w:pPr>
      <w:r w:rsidRPr="002965EC">
        <w:rPr>
          <w:rFonts w:ascii="Arial" w:hAnsi="Arial" w:cs="Arial"/>
          <w:b/>
        </w:rPr>
        <w:t>Menstrual</w:t>
      </w:r>
      <w:r w:rsidRPr="002965EC">
        <w:rPr>
          <w:rFonts w:ascii="Arial" w:hAnsi="Arial" w:cs="Arial"/>
        </w:rPr>
        <w:t xml:space="preserve"> </w:t>
      </w:r>
      <w:r w:rsidR="00A6635A" w:rsidRPr="002965EC">
        <w:rPr>
          <w:rFonts w:ascii="Arial" w:hAnsi="Arial" w:cs="Arial"/>
          <w:b/>
        </w:rPr>
        <w:t>H</w:t>
      </w:r>
      <w:r w:rsidRPr="002965EC">
        <w:rPr>
          <w:rFonts w:ascii="Arial" w:hAnsi="Arial" w:cs="Arial"/>
          <w:b/>
        </w:rPr>
        <w:t>ealth Management</w:t>
      </w:r>
      <w:r w:rsidRPr="002965EC">
        <w:rPr>
          <w:rFonts w:ascii="Arial" w:hAnsi="Arial" w:cs="Arial"/>
        </w:rPr>
        <w:t xml:space="preserve"> </w:t>
      </w:r>
    </w:p>
    <w:p w14:paraId="603CB3D7" w14:textId="77777777" w:rsidR="00CE2708" w:rsidRDefault="00014818" w:rsidP="00CE2708">
      <w:pPr>
        <w:rPr>
          <w:rFonts w:ascii="Arial" w:hAnsi="Arial" w:cs="Arial"/>
        </w:rPr>
      </w:pPr>
      <w:r w:rsidRPr="002965EC">
        <w:rPr>
          <w:rFonts w:ascii="Arial" w:hAnsi="Arial" w:cs="Arial"/>
        </w:rPr>
        <w:t xml:space="preserve">On 28 February Government launched the sanitary dignity framework which will ensure that girls in poor schools are given sanitary products. An amount of R157m has been allocated to the programme and will come into effect from 1 April, 2019. The Province of Mpumalanga kicked started its programme from 1 March 2019. It joins other provinces that have already started distributing pads to young girls. These include Gauteng and KwaZulu-Natal.  </w:t>
      </w:r>
      <w:r w:rsidR="000B5738" w:rsidRPr="002965EC">
        <w:rPr>
          <w:rFonts w:ascii="Arial" w:hAnsi="Arial" w:cs="Arial"/>
        </w:rPr>
        <w:t xml:space="preserve">Sanitary pads will also be zero VAT rated with effect from 1 April 2019. </w:t>
      </w:r>
    </w:p>
    <w:p w14:paraId="13CC2DC7" w14:textId="77777777" w:rsidR="007B7D0B" w:rsidRDefault="007B7D0B" w:rsidP="00CE2708">
      <w:pPr>
        <w:rPr>
          <w:rFonts w:ascii="Arial" w:hAnsi="Arial" w:cs="Arial"/>
          <w:b/>
        </w:rPr>
      </w:pPr>
      <w:r w:rsidRPr="007B7D0B">
        <w:rPr>
          <w:rFonts w:ascii="Arial" w:hAnsi="Arial" w:cs="Arial"/>
          <w:b/>
        </w:rPr>
        <w:t>School learner transport</w:t>
      </w:r>
    </w:p>
    <w:p w14:paraId="1B04E9A3" w14:textId="77777777" w:rsidR="007B7D0B" w:rsidRPr="007B7D0B" w:rsidRDefault="007B7D0B" w:rsidP="00CE2708">
      <w:pPr>
        <w:rPr>
          <w:rFonts w:ascii="Arial" w:hAnsi="Arial" w:cs="Arial"/>
          <w:b/>
        </w:rPr>
      </w:pPr>
      <w:r w:rsidRPr="007B7D0B">
        <w:rPr>
          <w:rFonts w:ascii="Arial" w:hAnsi="Arial" w:cs="Arial"/>
        </w:rPr>
        <w:t xml:space="preserve">The government of South Africa provides free learner transport </w:t>
      </w:r>
      <w:r>
        <w:rPr>
          <w:rFonts w:ascii="Arial" w:hAnsi="Arial" w:cs="Arial"/>
        </w:rPr>
        <w:t xml:space="preserve">through the </w:t>
      </w:r>
      <w:r w:rsidRPr="007B7D0B">
        <w:rPr>
          <w:rFonts w:ascii="Arial" w:hAnsi="Arial" w:cs="Arial"/>
        </w:rPr>
        <w:t>Department of Transport and the Department of Basic Education</w:t>
      </w:r>
      <w:r>
        <w:rPr>
          <w:rFonts w:ascii="Arial" w:hAnsi="Arial" w:cs="Arial"/>
        </w:rPr>
        <w:t xml:space="preserve">. This intervention was brought about so as to realize the </w:t>
      </w:r>
      <w:r w:rsidRPr="007B7D0B">
        <w:rPr>
          <w:rFonts w:ascii="Arial" w:hAnsi="Arial" w:cs="Arial"/>
        </w:rPr>
        <w:t>right of access to quality education. From 2009 to 2016 there was an increase from 180 000 to 320/350 000 learners who had access to the learner transport system (HSRC, 2018)</w:t>
      </w:r>
    </w:p>
    <w:p w14:paraId="2683CA7D" w14:textId="77777777" w:rsidR="00C07C2E" w:rsidRPr="002965EC" w:rsidRDefault="00C07C2E" w:rsidP="00CE2708">
      <w:pPr>
        <w:rPr>
          <w:rFonts w:ascii="Arial" w:hAnsi="Arial" w:cs="Arial"/>
        </w:rPr>
      </w:pPr>
    </w:p>
    <w:p w14:paraId="28FBE0B3" w14:textId="77777777" w:rsidR="008639EC" w:rsidRPr="002965EC" w:rsidRDefault="008639EC" w:rsidP="00AC1543">
      <w:pPr>
        <w:pStyle w:val="Heading2"/>
        <w:jc w:val="left"/>
        <w:rPr>
          <w:rFonts w:ascii="Arial" w:hAnsi="Arial" w:cs="Arial"/>
        </w:rPr>
      </w:pPr>
      <w:bookmarkStart w:id="28" w:name="_Toc2094129"/>
      <w:r w:rsidRPr="002965EC">
        <w:rPr>
          <w:rFonts w:ascii="Arial" w:hAnsi="Arial" w:cs="Arial"/>
        </w:rPr>
        <w:lastRenderedPageBreak/>
        <w:t>Access to sustainable infrastructure for gender equality and the empowerment of women and girls</w:t>
      </w:r>
    </w:p>
    <w:bookmarkEnd w:id="28"/>
    <w:p w14:paraId="61E7EAD9" w14:textId="77777777" w:rsidR="00D37835" w:rsidRPr="002965EC" w:rsidRDefault="00D37835" w:rsidP="00D37835">
      <w:pPr>
        <w:rPr>
          <w:rFonts w:ascii="Arial" w:hAnsi="Arial" w:cs="Arial"/>
        </w:rPr>
      </w:pPr>
    </w:p>
    <w:p w14:paraId="19296D09" w14:textId="77777777" w:rsidR="00B44DE9" w:rsidRPr="002965EC" w:rsidRDefault="00B44DE9" w:rsidP="00B44DE9">
      <w:pPr>
        <w:rPr>
          <w:rFonts w:ascii="Arial" w:hAnsi="Arial" w:cs="Arial"/>
        </w:rPr>
      </w:pPr>
      <w:r w:rsidRPr="002965EC">
        <w:rPr>
          <w:rFonts w:ascii="Arial" w:hAnsi="Arial" w:cs="Arial"/>
        </w:rPr>
        <w:t xml:space="preserve">Government has sought to promote women’s rights through targeted interventions, putting measures in place to address access to basic services, which includes water, electricity, sanitation, housing and food security, affordable transport and access to information. and RDP housing; provision of basic and free basic services in the form of reticulated water; electricity; sanitation and sewerage as well as solid waste management to households and in particular those categorized as indigent. In this regard and since 2001 the indigent households are entitled to a monthly free six kiloliters of water, fifty kWh of electricity, R50 worth of sanitation, sewerage and refuse removal. The Municipal Indigent Policy was approved in 2005 to provide the indigent with free basic water, sanitation, electricity and refuse removal. (SAHRC, Report, 2015). </w:t>
      </w:r>
    </w:p>
    <w:p w14:paraId="2C40D124" w14:textId="77777777" w:rsidR="00AC1543" w:rsidRDefault="00AC1543" w:rsidP="00B44DE9">
      <w:pPr>
        <w:rPr>
          <w:rFonts w:ascii="Arial" w:hAnsi="Arial" w:cs="Arial"/>
          <w:b/>
        </w:rPr>
      </w:pPr>
    </w:p>
    <w:p w14:paraId="6548C2D1" w14:textId="77777777" w:rsidR="00467C7A" w:rsidRPr="002965EC" w:rsidRDefault="00467C7A" w:rsidP="00B44DE9">
      <w:pPr>
        <w:rPr>
          <w:rFonts w:ascii="Arial" w:hAnsi="Arial" w:cs="Arial"/>
          <w:b/>
        </w:rPr>
      </w:pPr>
      <w:r w:rsidRPr="002965EC">
        <w:rPr>
          <w:rFonts w:ascii="Arial" w:hAnsi="Arial" w:cs="Arial"/>
          <w:b/>
        </w:rPr>
        <w:t>Basic Services</w:t>
      </w:r>
    </w:p>
    <w:p w14:paraId="3366AFE2" w14:textId="77777777" w:rsidR="00B44DE9" w:rsidRPr="002965EC" w:rsidRDefault="00B44DE9" w:rsidP="00B44DE9">
      <w:pPr>
        <w:rPr>
          <w:rFonts w:ascii="Arial" w:hAnsi="Arial" w:cs="Arial"/>
        </w:rPr>
      </w:pPr>
      <w:r w:rsidRPr="002965EC">
        <w:rPr>
          <w:rFonts w:ascii="Arial" w:hAnsi="Arial" w:cs="Arial"/>
        </w:rPr>
        <w:t xml:space="preserve">Prior to 1994 the commercial sector and the white minority were the beneficiaries of the government’s energy investments. The deliberate neglect of the apartheid government to render basic services to the black majority prior 1994 resulted in gas, wood and paraffin serving as the major source of domestic energy in the country. In addition to the Free Basic Energy Policy, the Department of Minerals and Energy introduced a Free Basic Alternative Energy Policy (FBAE, 2007) as a parallel intervention strategy specifically aimed at servicing indigent households (those who suffer from energy poverty) in un-electrified areas. These interventions fall under Department of Energy’s (DOE’s) 2010 Integrated Resource Plan (IRP) which aims to cover secured access to energy over the next 20 years. The inadequate supply of electricity to the population had the worst effects on the poor who cannot afford the cost of electricity. Their desperation to access electricity has been expressed through protest action and the many illegal reconnecting of electricity supplies which has become a nationwide survivalist tactic for the poor.    </w:t>
      </w:r>
      <w:r w:rsidR="00BD66AE" w:rsidRPr="002965EC">
        <w:rPr>
          <w:rFonts w:ascii="Arial" w:hAnsi="Arial" w:cs="Arial"/>
        </w:rPr>
        <w:t xml:space="preserve">Since 2001 the indigent households are entitled to a monthly free six kiloliters of water, fifty kWh of electricity, R50 worth of sanitation, sewerage and refuse removal. The Municipal Indigent Policy was approved in 2005 to provide the indigent with free basic water, sanitation, electricity and refuse removal. (SAHRC, Report, 2015). </w:t>
      </w:r>
      <w:r w:rsidR="00A431D2" w:rsidRPr="002965EC">
        <w:rPr>
          <w:rFonts w:ascii="Arial" w:hAnsi="Arial" w:cs="Arial"/>
        </w:rPr>
        <w:t>The figure below shows improvements from 2016 to 2017 with regards to access to electricity, sewerage and water as well as solid waste management.</w:t>
      </w:r>
    </w:p>
    <w:p w14:paraId="0576306B" w14:textId="77777777" w:rsidR="00B44DE9" w:rsidRPr="002965EC" w:rsidRDefault="00B44DE9" w:rsidP="00B44DE9">
      <w:pPr>
        <w:rPr>
          <w:rFonts w:ascii="Arial" w:hAnsi="Arial" w:cs="Arial"/>
        </w:rPr>
      </w:pPr>
    </w:p>
    <w:p w14:paraId="222C3F02" w14:textId="77777777" w:rsidR="00F13E5B" w:rsidRDefault="00B44DE9" w:rsidP="00B44DE9">
      <w:pPr>
        <w:rPr>
          <w:rFonts w:ascii="Arial" w:hAnsi="Arial" w:cs="Arial"/>
        </w:rPr>
      </w:pPr>
      <w:r w:rsidRPr="002965EC">
        <w:rPr>
          <w:rFonts w:ascii="Arial" w:hAnsi="Arial" w:cs="Arial"/>
          <w:noProof/>
          <w:lang w:val="en-ZA" w:eastAsia="en-ZA"/>
        </w:rPr>
        <w:lastRenderedPageBreak/>
        <w:drawing>
          <wp:inline distT="0" distB="0" distL="0" distR="0" wp14:anchorId="3DD44D2D" wp14:editId="14A18F9E">
            <wp:extent cx="4772025" cy="2600325"/>
            <wp:effectExtent l="0" t="0" r="9525" b="9525"/>
            <wp:docPr id="345" name="Chart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679E3CE" w14:textId="77777777" w:rsidR="00467C7A" w:rsidRPr="00F13E5B" w:rsidRDefault="00467C7A" w:rsidP="00B44DE9">
      <w:pPr>
        <w:rPr>
          <w:rFonts w:ascii="Arial" w:hAnsi="Arial" w:cs="Arial"/>
        </w:rPr>
      </w:pPr>
      <w:r w:rsidRPr="002965EC">
        <w:rPr>
          <w:rFonts w:ascii="Arial" w:hAnsi="Arial" w:cs="Arial"/>
          <w:b/>
        </w:rPr>
        <w:t>Basic sanitation</w:t>
      </w:r>
    </w:p>
    <w:p w14:paraId="5D251287" w14:textId="77777777" w:rsidR="00B44DE9" w:rsidRPr="002965EC" w:rsidRDefault="00B44DE9" w:rsidP="00B44DE9">
      <w:pPr>
        <w:rPr>
          <w:rFonts w:ascii="Arial" w:hAnsi="Arial" w:cs="Arial"/>
        </w:rPr>
      </w:pPr>
      <w:r w:rsidRPr="002965EC">
        <w:rPr>
          <w:rFonts w:ascii="Arial" w:hAnsi="Arial" w:cs="Arial"/>
        </w:rPr>
        <w:t>Alleviating poverty and inequality in South Africa are associated with the quality of service delivery that municipalities render in different communities, particularly sanitation and energy. The main aim of government is to ensure that all households have access to decent toilets – a clean environment that remains free of harmful impacts of sanitation system. (Statistics South Africa, 2016 Community Survey). Environmental hygiene plays an essential role in the prevention of many diseases. It also impacts on the natural environment and the preservation of important natural assets, such as water resources. Proper sanitation is one of the key elements in improving environmental sanitation (2017 GHS, Statistics South Africa, 2018).</w:t>
      </w:r>
    </w:p>
    <w:p w14:paraId="7244A3D3" w14:textId="77777777" w:rsidR="00B44DE9" w:rsidRPr="002965EC" w:rsidRDefault="00B44DE9" w:rsidP="00B44DE9">
      <w:pPr>
        <w:pStyle w:val="Caption"/>
        <w:keepNext/>
        <w:rPr>
          <w:rFonts w:ascii="Arial" w:hAnsi="Arial" w:cs="Arial"/>
        </w:rPr>
      </w:pPr>
      <w:bookmarkStart w:id="29" w:name="_Toc1488681"/>
      <w:r w:rsidRPr="002965EC">
        <w:rPr>
          <w:rFonts w:ascii="Arial" w:hAnsi="Arial" w:cs="Arial"/>
        </w:rPr>
        <w:t>Percentage of households that have access to improved sanitation</w:t>
      </w:r>
      <w:bookmarkEnd w:id="29"/>
    </w:p>
    <w:p w14:paraId="4E4DCD3D" w14:textId="77777777" w:rsidR="00B44DE9" w:rsidRPr="002965EC" w:rsidRDefault="00B44DE9" w:rsidP="00B44DE9">
      <w:pPr>
        <w:tabs>
          <w:tab w:val="left" w:pos="426"/>
        </w:tabs>
        <w:spacing w:after="0"/>
        <w:ind w:right="-193"/>
        <w:rPr>
          <w:rFonts w:ascii="Arial" w:eastAsia="Times New Roman" w:hAnsi="Arial" w:cs="Arial"/>
          <w:bCs/>
        </w:rPr>
      </w:pPr>
      <w:r w:rsidRPr="002965EC">
        <w:rPr>
          <w:rFonts w:ascii="Arial" w:hAnsi="Arial" w:cs="Arial"/>
          <w:noProof/>
          <w:lang w:val="en-ZA" w:eastAsia="en-ZA"/>
        </w:rPr>
        <w:drawing>
          <wp:inline distT="0" distB="0" distL="0" distR="0" wp14:anchorId="150F52D4" wp14:editId="07E94BDC">
            <wp:extent cx="4972050" cy="2419350"/>
            <wp:effectExtent l="0" t="0" r="0" b="0"/>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9C7731B" w14:textId="77777777" w:rsidR="00B44DE9" w:rsidRPr="002965EC" w:rsidRDefault="00B44DE9" w:rsidP="00B44DE9">
      <w:pPr>
        <w:rPr>
          <w:rFonts w:ascii="Arial" w:hAnsi="Arial" w:cs="Arial"/>
        </w:rPr>
      </w:pPr>
    </w:p>
    <w:p w14:paraId="13979366" w14:textId="77777777" w:rsidR="00A84345" w:rsidRPr="002965EC" w:rsidRDefault="00A84345" w:rsidP="00A84345">
      <w:pPr>
        <w:rPr>
          <w:rFonts w:ascii="Arial" w:hAnsi="Arial" w:cs="Arial"/>
        </w:rPr>
      </w:pPr>
      <w:r w:rsidRPr="002965EC">
        <w:rPr>
          <w:rFonts w:ascii="Arial" w:hAnsi="Arial" w:cs="Arial"/>
        </w:rPr>
        <w:lastRenderedPageBreak/>
        <w:t xml:space="preserve">Section 24 of the Constitution </w:t>
      </w:r>
      <w:proofErr w:type="spellStart"/>
      <w:r w:rsidRPr="002965EC">
        <w:rPr>
          <w:rFonts w:ascii="Arial" w:hAnsi="Arial" w:cs="Arial"/>
        </w:rPr>
        <w:t>recognises</w:t>
      </w:r>
      <w:proofErr w:type="spellEnd"/>
      <w:r w:rsidRPr="002965EC">
        <w:rPr>
          <w:rFonts w:ascii="Arial" w:hAnsi="Arial" w:cs="Arial"/>
        </w:rPr>
        <w:t xml:space="preserve"> the right to a healthy environment. In CEDAW, Article 14 </w:t>
      </w:r>
      <w:proofErr w:type="spellStart"/>
      <w:r w:rsidRPr="002965EC">
        <w:rPr>
          <w:rFonts w:ascii="Arial" w:hAnsi="Arial" w:cs="Arial"/>
        </w:rPr>
        <w:t>recognises</w:t>
      </w:r>
      <w:proofErr w:type="spellEnd"/>
      <w:r w:rsidRPr="002965EC">
        <w:rPr>
          <w:rFonts w:ascii="Arial" w:hAnsi="Arial" w:cs="Arial"/>
        </w:rPr>
        <w:t xml:space="preserve"> the right to enjoy adequate living conditions including access to adequate sanitation and water. The African Charter on Human and People’s Rights, article 24 also asserts a right to satisfactory environment </w:t>
      </w:r>
      <w:proofErr w:type="spellStart"/>
      <w:r w:rsidRPr="002965EC">
        <w:rPr>
          <w:rFonts w:ascii="Arial" w:hAnsi="Arial" w:cs="Arial"/>
        </w:rPr>
        <w:t>favourable</w:t>
      </w:r>
      <w:proofErr w:type="spellEnd"/>
      <w:r w:rsidRPr="002965EC">
        <w:rPr>
          <w:rFonts w:ascii="Arial" w:hAnsi="Arial" w:cs="Arial"/>
        </w:rPr>
        <w:t xml:space="preserve"> to development. Within this framework, women have been increasingly </w:t>
      </w:r>
      <w:proofErr w:type="spellStart"/>
      <w:r w:rsidRPr="002965EC">
        <w:rPr>
          <w:rFonts w:ascii="Arial" w:hAnsi="Arial" w:cs="Arial"/>
        </w:rPr>
        <w:t>recognised</w:t>
      </w:r>
      <w:proofErr w:type="spellEnd"/>
      <w:r w:rsidRPr="002965EC">
        <w:rPr>
          <w:rFonts w:ascii="Arial" w:hAnsi="Arial" w:cs="Arial"/>
        </w:rPr>
        <w:t xml:space="preserve"> as being the most vulnerable to and affected by climate change, envi</w:t>
      </w:r>
      <w:r w:rsidR="0064460C" w:rsidRPr="002965EC">
        <w:rPr>
          <w:rFonts w:ascii="Arial" w:hAnsi="Arial" w:cs="Arial"/>
        </w:rPr>
        <w:t>ron</w:t>
      </w:r>
      <w:r w:rsidRPr="002965EC">
        <w:rPr>
          <w:rFonts w:ascii="Arial" w:hAnsi="Arial" w:cs="Arial"/>
        </w:rPr>
        <w:t xml:space="preserve">mental changes, drought and natural disasters. </w:t>
      </w:r>
    </w:p>
    <w:p w14:paraId="38FE798F" w14:textId="77777777" w:rsidR="00A84345" w:rsidRPr="002965EC" w:rsidRDefault="00A84345" w:rsidP="00A84345">
      <w:pPr>
        <w:rPr>
          <w:rFonts w:ascii="Arial" w:hAnsi="Arial" w:cs="Arial"/>
        </w:rPr>
      </w:pPr>
      <w:r w:rsidRPr="002965EC">
        <w:rPr>
          <w:rFonts w:ascii="Arial" w:hAnsi="Arial" w:cs="Arial"/>
        </w:rPr>
        <w:t>The right to access adequate clean drinking water is provided for in S27 (1)(b) of the Constitution. Article 14(2</w:t>
      </w:r>
      <w:proofErr w:type="gramStart"/>
      <w:r w:rsidRPr="002965EC">
        <w:rPr>
          <w:rFonts w:ascii="Arial" w:hAnsi="Arial" w:cs="Arial"/>
        </w:rPr>
        <w:t>)(</w:t>
      </w:r>
      <w:proofErr w:type="gramEnd"/>
      <w:r w:rsidRPr="002965EC">
        <w:rPr>
          <w:rFonts w:ascii="Arial" w:hAnsi="Arial" w:cs="Arial"/>
        </w:rPr>
        <w:t>h) of CEDAW and Section 2 of the Water Services Act, No 108 of 1997 also provide for this right. The right to water is intrinsically linked to land rights. Thus, control, access to and quality of water inequitable resides with those enjoying riparian (ownership alongs</w:t>
      </w:r>
      <w:r w:rsidR="0064460C" w:rsidRPr="002965EC">
        <w:rPr>
          <w:rFonts w:ascii="Arial" w:hAnsi="Arial" w:cs="Arial"/>
        </w:rPr>
        <w:t>ide a river) rights and land ow</w:t>
      </w:r>
      <w:r w:rsidRPr="002965EC">
        <w:rPr>
          <w:rFonts w:ascii="Arial" w:hAnsi="Arial" w:cs="Arial"/>
        </w:rPr>
        <w:t xml:space="preserve">nership. This means that rural women, who in the main are not land owners in their own right, and whose gender labour of division is to ensure that water is provided to the household, have to travel distances to fetch this water, burdened with heavy loads. This bears negatively on women’s health as well as decreases time available to women to use in other beneficial ways. Another significant factor is that it is mainly elderly women in rural areas that find themselves in this situation, and young girls whose education is either disrupted as they are not in schools or that they have to perform this task after school itself. It is also quite </w:t>
      </w:r>
      <w:r w:rsidR="00B92A26" w:rsidRPr="002965EC">
        <w:rPr>
          <w:rFonts w:ascii="Arial" w:hAnsi="Arial" w:cs="Arial"/>
        </w:rPr>
        <w:t>frequently</w:t>
      </w:r>
      <w:r w:rsidRPr="002965EC">
        <w:rPr>
          <w:rFonts w:ascii="Arial" w:hAnsi="Arial" w:cs="Arial"/>
        </w:rPr>
        <w:t xml:space="preserve"> that this practice results in young girls and women experiencing gender based violence </w:t>
      </w:r>
      <w:r w:rsidR="00B92A26" w:rsidRPr="002965EC">
        <w:rPr>
          <w:rFonts w:ascii="Arial" w:hAnsi="Arial" w:cs="Arial"/>
        </w:rPr>
        <w:t>especially</w:t>
      </w:r>
      <w:r w:rsidRPr="002965EC">
        <w:rPr>
          <w:rFonts w:ascii="Arial" w:hAnsi="Arial" w:cs="Arial"/>
        </w:rPr>
        <w:t xml:space="preserve"> rape when traveling to fetch water.</w:t>
      </w:r>
    </w:p>
    <w:p w14:paraId="158A440F" w14:textId="77777777" w:rsidR="00A84345" w:rsidRPr="002965EC" w:rsidRDefault="00A84345" w:rsidP="009A3604">
      <w:pPr>
        <w:rPr>
          <w:rFonts w:ascii="Arial" w:hAnsi="Arial" w:cs="Arial"/>
        </w:rPr>
      </w:pPr>
      <w:r w:rsidRPr="002965EC">
        <w:rPr>
          <w:rFonts w:ascii="Arial" w:hAnsi="Arial" w:cs="Arial"/>
        </w:rPr>
        <w:t>Inadequate water supply also has implications in terms of menstrual</w:t>
      </w:r>
      <w:r w:rsidR="009A3604" w:rsidRPr="002965EC">
        <w:rPr>
          <w:rFonts w:ascii="Arial" w:hAnsi="Arial" w:cs="Arial"/>
        </w:rPr>
        <w:t xml:space="preserve"> health and hygiene for females</w:t>
      </w:r>
      <w:r w:rsidR="00467C7A" w:rsidRPr="002965EC">
        <w:rPr>
          <w:rFonts w:ascii="Arial" w:hAnsi="Arial" w:cs="Arial"/>
        </w:rPr>
        <w:tab/>
      </w:r>
    </w:p>
    <w:p w14:paraId="7461B682" w14:textId="77777777" w:rsidR="00A84345" w:rsidRPr="002965EC" w:rsidRDefault="00A84345" w:rsidP="00A84345">
      <w:pPr>
        <w:rPr>
          <w:rFonts w:ascii="Arial" w:hAnsi="Arial" w:cs="Arial"/>
          <w:szCs w:val="24"/>
        </w:rPr>
      </w:pPr>
      <w:r w:rsidRPr="002965EC">
        <w:rPr>
          <w:rFonts w:ascii="Arial" w:hAnsi="Arial" w:cs="Arial"/>
          <w:noProof/>
          <w:szCs w:val="24"/>
          <w:lang w:val="en-ZA" w:eastAsia="en-ZA"/>
        </w:rPr>
        <w:drawing>
          <wp:inline distT="0" distB="0" distL="0" distR="0" wp14:anchorId="1C0FFD48" wp14:editId="2C747C23">
            <wp:extent cx="4341732" cy="26098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6740" cy="2612860"/>
                    </a:xfrm>
                    <a:prstGeom prst="rect">
                      <a:avLst/>
                    </a:prstGeom>
                    <a:noFill/>
                  </pic:spPr>
                </pic:pic>
              </a:graphicData>
            </a:graphic>
          </wp:inline>
        </w:drawing>
      </w:r>
    </w:p>
    <w:p w14:paraId="63A388DE" w14:textId="77777777" w:rsidR="00A84345" w:rsidRPr="002965EC" w:rsidRDefault="00A84345" w:rsidP="00A84345">
      <w:pPr>
        <w:rPr>
          <w:rFonts w:ascii="Arial" w:hAnsi="Arial" w:cs="Arial"/>
          <w:szCs w:val="24"/>
        </w:rPr>
      </w:pPr>
      <w:r w:rsidRPr="002965EC">
        <w:rPr>
          <w:rFonts w:ascii="Arial" w:hAnsi="Arial" w:cs="Arial"/>
          <w:noProof/>
          <w:szCs w:val="24"/>
          <w:lang w:val="en-ZA" w:eastAsia="en-ZA"/>
        </w:rPr>
        <w:lastRenderedPageBreak/>
        <w:drawing>
          <wp:inline distT="0" distB="0" distL="0" distR="0" wp14:anchorId="0BCB2169" wp14:editId="0ACD72B1">
            <wp:extent cx="4343400" cy="2743200"/>
            <wp:effectExtent l="0" t="0" r="19050" b="1905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C69F5E" w14:textId="77777777" w:rsidR="00A84345" w:rsidRPr="002965EC" w:rsidRDefault="00A84345" w:rsidP="00A84345">
      <w:pPr>
        <w:rPr>
          <w:rFonts w:ascii="Arial" w:hAnsi="Arial" w:cs="Arial"/>
          <w:szCs w:val="24"/>
        </w:rPr>
      </w:pPr>
    </w:p>
    <w:p w14:paraId="45DC9025" w14:textId="4DA41C7B" w:rsidR="00A84345" w:rsidRPr="002965EC" w:rsidRDefault="00BD66AE" w:rsidP="00AC1543">
      <w:pPr>
        <w:spacing w:after="160"/>
        <w:rPr>
          <w:rFonts w:ascii="Arial" w:hAnsi="Arial" w:cs="Arial"/>
          <w:b/>
          <w:szCs w:val="24"/>
        </w:rPr>
      </w:pPr>
      <w:r w:rsidRPr="002965EC">
        <w:rPr>
          <w:rFonts w:ascii="Arial" w:hAnsi="Arial" w:cs="Arial"/>
          <w:b/>
          <w:szCs w:val="24"/>
        </w:rPr>
        <w:t>Electricity</w:t>
      </w:r>
    </w:p>
    <w:p w14:paraId="3992C1B8" w14:textId="77777777" w:rsidR="00A84345" w:rsidRPr="002965EC" w:rsidRDefault="00A84345" w:rsidP="00083AA0">
      <w:pPr>
        <w:rPr>
          <w:rFonts w:ascii="Arial" w:hAnsi="Arial" w:cs="Arial"/>
        </w:rPr>
      </w:pPr>
      <w:r w:rsidRPr="002965EC">
        <w:rPr>
          <w:rFonts w:ascii="Arial" w:hAnsi="Arial" w:cs="Arial"/>
        </w:rPr>
        <w:t xml:space="preserve">Prior to 1994 the commercial sector and the white minority were the beneficiaries of the government’s energy investments. The deliberate neglect of the apartheid government to render basic services to the black majority prior 1994 resulted in gas, wood and paraffin serving as the major source of domestic energy in the country. In addition to the Free Basic Energy Policy, the Department of Minerals and Energy introduced a Free Basic Alternative Energy Policy (FBAE, 2007) as a parallel intervention strategy specifically aimed at servicing indigent households (those who suffer from energy poverty) in un-electrified areas. These interventions fall under Department of Energy’s (DOE’s) 2010 Integrated Resource Plan (IRP) which aims to cover secured access to energy over the next 20 years. The inadequate supply of electricity to the population had the worst effects on the poor who cannot afford the cost of electricity. Their desperation to access electricity has been expressed through protest action and the many illegal reconnecting of electricity supplies which has become a nationwide survivalist tactic for the poor.     </w:t>
      </w:r>
    </w:p>
    <w:p w14:paraId="4E1E875C" w14:textId="77777777" w:rsidR="00B44DE9" w:rsidRPr="002965EC" w:rsidRDefault="00A84345" w:rsidP="00B44DE9">
      <w:pPr>
        <w:rPr>
          <w:rFonts w:ascii="Arial" w:hAnsi="Arial" w:cs="Arial"/>
        </w:rPr>
      </w:pPr>
      <w:r w:rsidRPr="002965EC">
        <w:rPr>
          <w:rFonts w:ascii="Arial" w:hAnsi="Arial" w:cs="Arial"/>
          <w:noProof/>
          <w:lang w:val="en-ZA" w:eastAsia="en-ZA"/>
        </w:rPr>
        <w:lastRenderedPageBreak/>
        <w:drawing>
          <wp:inline distT="0" distB="0" distL="0" distR="0" wp14:anchorId="06B5B6F6" wp14:editId="0438B9DD">
            <wp:extent cx="5731510" cy="2692781"/>
            <wp:effectExtent l="0" t="0" r="2159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43BB442" w14:textId="77777777" w:rsidR="00736B30" w:rsidRPr="002965EC" w:rsidRDefault="00736B30" w:rsidP="00B44DE9">
      <w:pPr>
        <w:rPr>
          <w:rFonts w:ascii="Arial" w:hAnsi="Arial" w:cs="Arial"/>
          <w:b/>
        </w:rPr>
      </w:pPr>
      <w:r w:rsidRPr="002965EC">
        <w:rPr>
          <w:rFonts w:ascii="Arial" w:hAnsi="Arial" w:cs="Arial"/>
          <w:b/>
        </w:rPr>
        <w:t xml:space="preserve">Housing </w:t>
      </w:r>
    </w:p>
    <w:p w14:paraId="017F07AB" w14:textId="77777777" w:rsidR="00736B30" w:rsidRPr="002965EC" w:rsidRDefault="00736B30" w:rsidP="00736B30">
      <w:pPr>
        <w:rPr>
          <w:rFonts w:ascii="Arial" w:hAnsi="Arial" w:cs="Arial"/>
        </w:rPr>
      </w:pPr>
      <w:r w:rsidRPr="002965EC">
        <w:rPr>
          <w:rFonts w:ascii="Arial" w:hAnsi="Arial" w:cs="Arial"/>
        </w:rPr>
        <w:t xml:space="preserve">Section 26 of the Constitution provided for the right of access to adequate housing, prohibits arbitrary evictions, and together with S9 provides for equality in access to adequate housing. It allowed for the progressive </w:t>
      </w:r>
      <w:proofErr w:type="spellStart"/>
      <w:r w:rsidRPr="002965EC">
        <w:rPr>
          <w:rFonts w:ascii="Arial" w:hAnsi="Arial" w:cs="Arial"/>
        </w:rPr>
        <w:t>realisation</w:t>
      </w:r>
      <w:proofErr w:type="spellEnd"/>
      <w:r w:rsidRPr="002965EC">
        <w:rPr>
          <w:rFonts w:ascii="Arial" w:hAnsi="Arial" w:cs="Arial"/>
        </w:rPr>
        <w:t xml:space="preserve"> of these rights and provided for special measures to promote achievement of equality in housing for vulnerable groups previously disadvantaged by unfair discrimination such as women. Article 14(2)(h) of CEDAW </w:t>
      </w:r>
      <w:proofErr w:type="spellStart"/>
      <w:r w:rsidRPr="002965EC">
        <w:rPr>
          <w:rFonts w:ascii="Arial" w:hAnsi="Arial" w:cs="Arial"/>
        </w:rPr>
        <w:t>recognises</w:t>
      </w:r>
      <w:proofErr w:type="spellEnd"/>
      <w:r w:rsidRPr="002965EC">
        <w:rPr>
          <w:rFonts w:ascii="Arial" w:hAnsi="Arial" w:cs="Arial"/>
        </w:rPr>
        <w:t xml:space="preserve"> the right to enjoy adequate housing. This is also contained within other international instruments such as the International Covenant on Economic, Social and Cultural Rights; the Istanbul Declaration on Human Settlements; the Beijing Platform for Action and the UN Resolution on “Women and the Right to Adequate Housing and to Land and Property”. </w:t>
      </w:r>
    </w:p>
    <w:p w14:paraId="0155EDBD" w14:textId="77777777" w:rsidR="00C7129E" w:rsidRPr="002965EC" w:rsidRDefault="00736B30" w:rsidP="00C7129E">
      <w:pPr>
        <w:rPr>
          <w:rFonts w:ascii="Arial" w:hAnsi="Arial" w:cs="Arial"/>
        </w:rPr>
      </w:pPr>
      <w:r w:rsidRPr="002965EC">
        <w:rPr>
          <w:rFonts w:ascii="Arial" w:hAnsi="Arial" w:cs="Arial"/>
        </w:rPr>
        <w:t>Female headed households, the elderly, rural households, the poor, the disabled and farm workers were since 1994 identified as part of the special measures for the provision of houses by Government through the RDP Housing Programme.</w:t>
      </w:r>
      <w:r w:rsidR="00C7129E" w:rsidRPr="002965EC">
        <w:rPr>
          <w:rFonts w:ascii="Arial" w:hAnsi="Arial" w:cs="Arial"/>
        </w:rPr>
        <w:t xml:space="preserve"> By 2015, South Africa had made significant progress since 1994 with the provision of an estimated 3.7 million housing opportunities providin</w:t>
      </w:r>
      <w:r w:rsidR="00B92A26" w:rsidRPr="002965EC">
        <w:rPr>
          <w:rFonts w:ascii="Arial" w:hAnsi="Arial" w:cs="Arial"/>
        </w:rPr>
        <w:t>g to around 12.5 million people.</w:t>
      </w:r>
      <w:r w:rsidR="00C7129E" w:rsidRPr="002965EC">
        <w:rPr>
          <w:rFonts w:ascii="Arial" w:hAnsi="Arial" w:cs="Arial"/>
        </w:rPr>
        <w:t xml:space="preserve"> In 2016, 79.3% of households lived in formal dwellings compared to 73.3% in 2002, indicating that 8 out of every 10 households live in a formal dwelling. The number of households living in informal dwellings increased from 13.2% in 2002 to 13.9% in 2016, indicating that 1 in 7 households </w:t>
      </w:r>
      <w:r w:rsidR="0064460C" w:rsidRPr="002965EC">
        <w:rPr>
          <w:rFonts w:ascii="Arial" w:hAnsi="Arial" w:cs="Arial"/>
        </w:rPr>
        <w:t>still lived in informal housing</w:t>
      </w:r>
      <w:r w:rsidR="00C7129E" w:rsidRPr="002965EC">
        <w:rPr>
          <w:rFonts w:ascii="Arial" w:hAnsi="Arial" w:cs="Arial"/>
        </w:rPr>
        <w:t xml:space="preserve"> (</w:t>
      </w:r>
      <w:proofErr w:type="spellStart"/>
      <w:r w:rsidR="00C7129E" w:rsidRPr="002965EC">
        <w:rPr>
          <w:rFonts w:ascii="Arial" w:hAnsi="Arial" w:cs="Arial"/>
        </w:rPr>
        <w:t>Selebalo</w:t>
      </w:r>
      <w:proofErr w:type="spellEnd"/>
      <w:r w:rsidR="00C7129E" w:rsidRPr="002965EC">
        <w:rPr>
          <w:rFonts w:ascii="Arial" w:hAnsi="Arial" w:cs="Arial"/>
        </w:rPr>
        <w:t xml:space="preserve"> &amp; Webster, 2017)</w:t>
      </w:r>
      <w:r w:rsidR="00C7129E" w:rsidRPr="002965EC">
        <w:rPr>
          <w:rStyle w:val="FootnoteReference"/>
          <w:rFonts w:ascii="Arial" w:hAnsi="Arial" w:cs="Arial"/>
        </w:rPr>
        <w:footnoteReference w:id="12"/>
      </w:r>
      <w:r w:rsidR="00C7129E" w:rsidRPr="002965EC">
        <w:rPr>
          <w:rFonts w:ascii="Arial" w:hAnsi="Arial" w:cs="Arial"/>
        </w:rPr>
        <w:t xml:space="preserve">. The country’s state subsidized housing programmes are almost unparalleled </w:t>
      </w:r>
      <w:r w:rsidR="00C7129E" w:rsidRPr="002965EC">
        <w:rPr>
          <w:rFonts w:ascii="Arial" w:hAnsi="Arial" w:cs="Arial"/>
        </w:rPr>
        <w:lastRenderedPageBreak/>
        <w:t>internationally and have expanded access to adequate housing to many poor households, despite major challenges. (</w:t>
      </w:r>
      <w:proofErr w:type="spellStart"/>
      <w:r w:rsidR="00C7129E" w:rsidRPr="002965EC">
        <w:rPr>
          <w:rFonts w:ascii="Arial" w:hAnsi="Arial" w:cs="Arial"/>
        </w:rPr>
        <w:t>Selebalo</w:t>
      </w:r>
      <w:proofErr w:type="spellEnd"/>
      <w:r w:rsidR="00C7129E" w:rsidRPr="002965EC">
        <w:rPr>
          <w:rFonts w:ascii="Arial" w:hAnsi="Arial" w:cs="Arial"/>
        </w:rPr>
        <w:t xml:space="preserve"> &amp; Webster, 2017)</w:t>
      </w:r>
      <w:r w:rsidR="00C7129E" w:rsidRPr="002965EC">
        <w:rPr>
          <w:rStyle w:val="FootnoteReference"/>
          <w:rFonts w:ascii="Arial" w:hAnsi="Arial" w:cs="Arial"/>
        </w:rPr>
        <w:footnoteReference w:id="13"/>
      </w:r>
      <w:r w:rsidR="00C7129E" w:rsidRPr="002965EC">
        <w:rPr>
          <w:rFonts w:ascii="Arial" w:hAnsi="Arial" w:cs="Arial"/>
        </w:rPr>
        <w:t xml:space="preserve">     </w:t>
      </w:r>
    </w:p>
    <w:p w14:paraId="588E0B21" w14:textId="77777777" w:rsidR="00C7129E" w:rsidRPr="002965EC" w:rsidRDefault="00C7129E" w:rsidP="00C7129E">
      <w:pPr>
        <w:autoSpaceDE w:val="0"/>
        <w:autoSpaceDN w:val="0"/>
        <w:adjustRightInd w:val="0"/>
        <w:spacing w:after="0"/>
        <w:rPr>
          <w:rFonts w:ascii="Arial" w:hAnsi="Arial" w:cs="Arial"/>
        </w:rPr>
      </w:pPr>
    </w:p>
    <w:p w14:paraId="5C4DE16A" w14:textId="77777777" w:rsidR="00C7129E" w:rsidRPr="002965EC" w:rsidRDefault="00C7129E" w:rsidP="00C7129E">
      <w:pPr>
        <w:tabs>
          <w:tab w:val="left" w:pos="426"/>
        </w:tabs>
        <w:spacing w:after="0"/>
        <w:ind w:right="-193"/>
        <w:rPr>
          <w:rFonts w:ascii="Arial" w:eastAsia="Times New Roman" w:hAnsi="Arial" w:cs="Arial"/>
          <w:bCs/>
        </w:rPr>
      </w:pPr>
      <w:r w:rsidRPr="002965EC">
        <w:rPr>
          <w:rFonts w:ascii="Arial" w:hAnsi="Arial" w:cs="Arial"/>
          <w:noProof/>
          <w:lang w:val="en-ZA" w:eastAsia="en-ZA"/>
        </w:rPr>
        <w:drawing>
          <wp:inline distT="0" distB="0" distL="0" distR="0" wp14:anchorId="0F3EF322" wp14:editId="7D021A64">
            <wp:extent cx="5581650" cy="2905125"/>
            <wp:effectExtent l="0" t="0" r="0" b="9525"/>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2CD8ABB" w14:textId="77777777" w:rsidR="00C7129E" w:rsidRPr="002965EC" w:rsidRDefault="00C7129E" w:rsidP="00C7129E">
      <w:pPr>
        <w:rPr>
          <w:rFonts w:ascii="Arial" w:hAnsi="Arial" w:cs="Arial"/>
          <w:b/>
          <w:i/>
        </w:rPr>
      </w:pPr>
    </w:p>
    <w:p w14:paraId="124FFF01" w14:textId="77777777" w:rsidR="00736B30" w:rsidRPr="002965EC" w:rsidRDefault="00736B30" w:rsidP="00736B30">
      <w:pPr>
        <w:rPr>
          <w:rFonts w:ascii="Arial" w:hAnsi="Arial" w:cs="Arial"/>
        </w:rPr>
      </w:pPr>
      <w:r w:rsidRPr="002965EC">
        <w:rPr>
          <w:rFonts w:ascii="Arial" w:hAnsi="Arial" w:cs="Arial"/>
        </w:rPr>
        <w:t>Over the past 25 years housing subsidies have been provided for by government in order to enable people to purchase and own their own homes through the National Housing Subsidy Scheme. Unfortunately, women have not been the main beneficiaries of this programme given their socio-economic disadvantages experienced. This scheme excluded single men and women and only made provision for those in a relationship or those with dependents. Given power relations in a household/relationship as well, many women were not the owners of houses in which they lived, but mainly registered them under their partner’s names. However, this situation has gradually been changing over the years.</w:t>
      </w:r>
    </w:p>
    <w:p w14:paraId="21F67F64" w14:textId="77777777" w:rsidR="00736B30" w:rsidRPr="002965EC" w:rsidRDefault="00736B30" w:rsidP="00736B30">
      <w:pPr>
        <w:rPr>
          <w:rFonts w:ascii="Arial" w:hAnsi="Arial" w:cs="Arial"/>
        </w:rPr>
      </w:pPr>
      <w:r w:rsidRPr="002965EC">
        <w:rPr>
          <w:rFonts w:ascii="Arial" w:hAnsi="Arial" w:cs="Arial"/>
          <w:noProof/>
          <w:lang w:val="en-ZA" w:eastAsia="en-ZA"/>
        </w:rPr>
        <w:lastRenderedPageBreak/>
        <w:drawing>
          <wp:inline distT="0" distB="0" distL="0" distR="0" wp14:anchorId="54BB73A0" wp14:editId="364FA05C">
            <wp:extent cx="4079019" cy="2806811"/>
            <wp:effectExtent l="0" t="0" r="17145"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881D162" w14:textId="77777777" w:rsidR="00736B30" w:rsidRPr="002965EC" w:rsidRDefault="00736B30" w:rsidP="00736B30">
      <w:pPr>
        <w:rPr>
          <w:rFonts w:ascii="Arial" w:hAnsi="Arial" w:cs="Arial"/>
        </w:rPr>
      </w:pPr>
    </w:p>
    <w:p w14:paraId="774A5CF6" w14:textId="77777777" w:rsidR="00736B30" w:rsidRPr="002965EC" w:rsidRDefault="00736B30" w:rsidP="00736B30">
      <w:pPr>
        <w:rPr>
          <w:rFonts w:ascii="Arial" w:hAnsi="Arial" w:cs="Arial"/>
        </w:rPr>
      </w:pPr>
      <w:r w:rsidRPr="002965EC">
        <w:rPr>
          <w:rFonts w:ascii="Arial" w:hAnsi="Arial" w:cs="Arial"/>
        </w:rPr>
        <w:t>The Development Facilitation Act, No. 67 of 1995 was enacted to introduce extraordinary measures to facilitate and speed up the implementation of reconstruction and development programmes and projects in relation to land for residential purposes, small-scale farming or other needs and uses; to promote security of tenure while ensuring that end-user finance in the form of subsidies and loans becomes available as early as possible during the land development process.  It operated on the basis of gender neutrality with no specific reference to either female headed households or women. This legislation was repealed by the enactment of the Spatial Planning and Land Use Management Act, No 16 of 2013. According to the 2018 Stats SA survey, it was found that male-headed households were more likely to be living in informal dwellings and other dwellings compared to female headed households meanwhile, female headed households were more likely to be living in traditional housing</w:t>
      </w:r>
    </w:p>
    <w:p w14:paraId="7ADD4AB1" w14:textId="77777777" w:rsidR="009A3604" w:rsidRPr="002965EC" w:rsidRDefault="00736B30" w:rsidP="00B44DE9">
      <w:pPr>
        <w:rPr>
          <w:rFonts w:ascii="Arial" w:hAnsi="Arial" w:cs="Arial"/>
        </w:rPr>
      </w:pPr>
      <w:r w:rsidRPr="002965EC">
        <w:rPr>
          <w:rFonts w:ascii="Arial" w:hAnsi="Arial" w:cs="Arial"/>
        </w:rPr>
        <w:t xml:space="preserve">The Prevention of Illegal Evictions and the Unlawful Occupation of Land Act, No 19 of 1998 aimed to prohibit unlawful evictions. The preamble in the Act noted that special consideration must be given to the rights of certain vulnerable groups such as female headed households. More women headed households including child headed households are benefitting from our housing programme. </w:t>
      </w:r>
    </w:p>
    <w:p w14:paraId="168755EC" w14:textId="77777777" w:rsidR="007D723C" w:rsidRPr="002965EC" w:rsidRDefault="008639EC" w:rsidP="00827862">
      <w:pPr>
        <w:pStyle w:val="Heading2"/>
        <w:rPr>
          <w:rFonts w:ascii="Arial" w:hAnsi="Arial" w:cs="Arial"/>
        </w:rPr>
      </w:pPr>
      <w:bookmarkStart w:id="30" w:name="_Toc2094130"/>
      <w:r w:rsidRPr="002965EC">
        <w:rPr>
          <w:rFonts w:ascii="Arial" w:hAnsi="Arial" w:cs="Arial"/>
        </w:rPr>
        <w:t>Social protection, access to public services and sustainable infrastructure for gender equality and the empowerment of women and girls</w:t>
      </w:r>
      <w:bookmarkEnd w:id="30"/>
    </w:p>
    <w:p w14:paraId="60F80EAE" w14:textId="77777777" w:rsidR="008639EC" w:rsidRPr="002965EC" w:rsidRDefault="008639EC" w:rsidP="006560F0">
      <w:pPr>
        <w:rPr>
          <w:rFonts w:ascii="Arial" w:hAnsi="Arial" w:cs="Arial"/>
          <w:szCs w:val="24"/>
        </w:rPr>
      </w:pPr>
    </w:p>
    <w:p w14:paraId="27582226" w14:textId="77777777" w:rsidR="006560F0" w:rsidRPr="002965EC" w:rsidRDefault="006560F0" w:rsidP="006560F0">
      <w:pPr>
        <w:rPr>
          <w:rFonts w:ascii="Arial" w:hAnsi="Arial" w:cs="Arial"/>
          <w:szCs w:val="24"/>
        </w:rPr>
      </w:pPr>
      <w:r w:rsidRPr="002965EC">
        <w:rPr>
          <w:rFonts w:ascii="Arial" w:hAnsi="Arial" w:cs="Arial"/>
          <w:szCs w:val="24"/>
        </w:rPr>
        <w:t>The majority of South Africans</w:t>
      </w:r>
      <w:r w:rsidR="008639EC" w:rsidRPr="002965EC">
        <w:rPr>
          <w:rFonts w:ascii="Arial" w:hAnsi="Arial" w:cs="Arial"/>
          <w:szCs w:val="24"/>
        </w:rPr>
        <w:t xml:space="preserve"> reside in formal dwellings and</w:t>
      </w:r>
      <w:r w:rsidRPr="002965EC">
        <w:rPr>
          <w:rFonts w:ascii="Arial" w:hAnsi="Arial" w:cs="Arial"/>
          <w:szCs w:val="24"/>
        </w:rPr>
        <w:t xml:space="preserve"> have access to electricity, water, sanitation and refuse removal. </w:t>
      </w:r>
    </w:p>
    <w:p w14:paraId="7B22C5B9" w14:textId="77777777" w:rsidR="007D56CB" w:rsidRDefault="006560F0" w:rsidP="007D56CB">
      <w:pPr>
        <w:rPr>
          <w:rFonts w:ascii="Arial" w:hAnsi="Arial" w:cs="Arial"/>
          <w:szCs w:val="24"/>
        </w:rPr>
      </w:pPr>
      <w:r w:rsidRPr="002965EC">
        <w:rPr>
          <w:rFonts w:ascii="Arial" w:hAnsi="Arial" w:cs="Arial"/>
          <w:szCs w:val="24"/>
        </w:rPr>
        <w:lastRenderedPageBreak/>
        <w:t xml:space="preserve">Government also launched an economic stimulus package to boost the economy. A critical pillar of it is the roll out of infrastructure. </w:t>
      </w:r>
      <w:r w:rsidR="004576D4" w:rsidRPr="002965EC">
        <w:rPr>
          <w:rFonts w:ascii="Arial" w:hAnsi="Arial" w:cs="Arial"/>
          <w:szCs w:val="24"/>
        </w:rPr>
        <w:t>South Africa has</w:t>
      </w:r>
      <w:r w:rsidRPr="002965EC">
        <w:rPr>
          <w:rFonts w:ascii="Arial" w:hAnsi="Arial" w:cs="Arial"/>
          <w:szCs w:val="24"/>
        </w:rPr>
        <w:t xml:space="preserve"> provided social infrastructure in respect of ECDs regarding building of new structures, and upgrading of existing community based ECDs. This initiative enabled many unregistered ECDs to be registered, and become eligible for government subsidy thus enabling more children accessing the services. This initiative has both an urban and rural bias. The training of ECD practitioners is </w:t>
      </w:r>
      <w:proofErr w:type="spellStart"/>
      <w:r w:rsidRPr="002965EC">
        <w:rPr>
          <w:rFonts w:ascii="Arial" w:hAnsi="Arial" w:cs="Arial"/>
          <w:szCs w:val="24"/>
        </w:rPr>
        <w:t>formalised</w:t>
      </w:r>
      <w:proofErr w:type="spellEnd"/>
      <w:r w:rsidRPr="002965EC">
        <w:rPr>
          <w:rFonts w:ascii="Arial" w:hAnsi="Arial" w:cs="Arial"/>
          <w:szCs w:val="24"/>
        </w:rPr>
        <w:t xml:space="preserve"> to ensure a qualification in this sector. </w:t>
      </w:r>
    </w:p>
    <w:p w14:paraId="000833B6" w14:textId="77777777" w:rsidR="00D25538" w:rsidRPr="002965EC" w:rsidRDefault="00D25538" w:rsidP="00D25538">
      <w:pPr>
        <w:rPr>
          <w:rFonts w:ascii="Arial" w:hAnsi="Arial" w:cs="Arial"/>
          <w:szCs w:val="24"/>
        </w:rPr>
      </w:pPr>
      <w:r w:rsidRPr="002965EC">
        <w:rPr>
          <w:rFonts w:ascii="Arial" w:hAnsi="Arial" w:cs="Arial"/>
          <w:szCs w:val="24"/>
        </w:rPr>
        <w:t xml:space="preserve">More female practitioners are employed in this sector as care givers and ECD practitioners. </w:t>
      </w:r>
    </w:p>
    <w:p w14:paraId="55B47700" w14:textId="77777777" w:rsidR="007D56CB" w:rsidRPr="00D25538" w:rsidRDefault="007D56CB" w:rsidP="00D25538">
      <w:pPr>
        <w:rPr>
          <w:rFonts w:ascii="Arial" w:hAnsi="Arial" w:cs="Arial"/>
          <w:szCs w:val="24"/>
        </w:rPr>
      </w:pPr>
      <w:r w:rsidRPr="00D25538">
        <w:rPr>
          <w:rFonts w:ascii="Arial" w:hAnsi="Arial" w:cs="Arial"/>
          <w:szCs w:val="24"/>
        </w:rPr>
        <w:t>Another</w:t>
      </w:r>
      <w:r w:rsidR="00D25538">
        <w:rPr>
          <w:rFonts w:ascii="Arial" w:hAnsi="Arial" w:cs="Arial"/>
          <w:szCs w:val="24"/>
        </w:rPr>
        <w:t xml:space="preserve"> </w:t>
      </w:r>
      <w:r w:rsidR="007A5C09">
        <w:rPr>
          <w:rFonts w:ascii="Arial" w:hAnsi="Arial" w:cs="Arial"/>
          <w:szCs w:val="24"/>
        </w:rPr>
        <w:t>social</w:t>
      </w:r>
      <w:r w:rsidR="00D25538">
        <w:rPr>
          <w:rFonts w:ascii="Arial" w:hAnsi="Arial" w:cs="Arial"/>
          <w:szCs w:val="24"/>
        </w:rPr>
        <w:t xml:space="preserve"> protection</w:t>
      </w:r>
      <w:r w:rsidRPr="00D25538">
        <w:rPr>
          <w:rFonts w:ascii="Arial" w:hAnsi="Arial" w:cs="Arial"/>
          <w:szCs w:val="24"/>
        </w:rPr>
        <w:t xml:space="preserve"> pillar is that of access to free basic education, supported by free learner transport</w:t>
      </w:r>
      <w:r w:rsidR="00D25538" w:rsidRPr="00D25538">
        <w:rPr>
          <w:rFonts w:ascii="Arial" w:hAnsi="Arial" w:cs="Arial"/>
          <w:szCs w:val="24"/>
        </w:rPr>
        <w:t xml:space="preserve"> and provision of</w:t>
      </w:r>
      <w:r w:rsidRPr="00D25538">
        <w:rPr>
          <w:rFonts w:ascii="Arial" w:hAnsi="Arial" w:cs="Arial"/>
          <w:szCs w:val="24"/>
        </w:rPr>
        <w:t xml:space="preserve"> free nutrition </w:t>
      </w:r>
      <w:r w:rsidR="00D25538" w:rsidRPr="00D25538">
        <w:rPr>
          <w:rFonts w:ascii="Arial" w:hAnsi="Arial" w:cs="Arial"/>
          <w:szCs w:val="24"/>
        </w:rPr>
        <w:t>to poor learners.  South Africa has provided, through a number of national initiatives, free education, transport and nutrition to support and encourage young children to attend and flourish at school.</w:t>
      </w:r>
    </w:p>
    <w:p w14:paraId="07462973" w14:textId="77777777" w:rsidR="007D56CB" w:rsidRPr="00D25538" w:rsidRDefault="00D25538" w:rsidP="00D25538">
      <w:pPr>
        <w:rPr>
          <w:rFonts w:ascii="Arial" w:hAnsi="Arial" w:cs="Arial"/>
          <w:lang w:val="en-ZA"/>
        </w:rPr>
      </w:pPr>
      <w:r w:rsidRPr="00D25538">
        <w:rPr>
          <w:rFonts w:ascii="Arial" w:hAnsi="Arial" w:cs="Arial"/>
        </w:rPr>
        <w:t>The South Africa has also ini</w:t>
      </w:r>
      <w:r w:rsidR="007A5C09">
        <w:rPr>
          <w:rFonts w:ascii="Arial" w:hAnsi="Arial" w:cs="Arial"/>
        </w:rPr>
        <w:t>ti</w:t>
      </w:r>
      <w:r w:rsidRPr="00D25538">
        <w:rPr>
          <w:rFonts w:ascii="Arial" w:hAnsi="Arial" w:cs="Arial"/>
        </w:rPr>
        <w:t xml:space="preserve">ated a </w:t>
      </w:r>
      <w:r w:rsidR="007D56CB" w:rsidRPr="00D25538">
        <w:rPr>
          <w:rFonts w:ascii="Arial" w:hAnsi="Arial" w:cs="Arial"/>
        </w:rPr>
        <w:t>Menstrual Health Management</w:t>
      </w:r>
      <w:r w:rsidRPr="00D25538">
        <w:rPr>
          <w:rFonts w:ascii="Arial" w:hAnsi="Arial" w:cs="Arial"/>
        </w:rPr>
        <w:t xml:space="preserve"> intervention, which will provide </w:t>
      </w:r>
      <w:r w:rsidR="007D56CB" w:rsidRPr="00D25538">
        <w:rPr>
          <w:rFonts w:ascii="Arial" w:hAnsi="Arial" w:cs="Arial"/>
        </w:rPr>
        <w:t xml:space="preserve">free pads to keep girls in school and </w:t>
      </w:r>
      <w:r w:rsidRPr="00D25538">
        <w:rPr>
          <w:rFonts w:ascii="Arial" w:hAnsi="Arial" w:cs="Arial"/>
        </w:rPr>
        <w:t xml:space="preserve">will be supported by </w:t>
      </w:r>
      <w:r w:rsidR="007D56CB" w:rsidRPr="00D25538">
        <w:rPr>
          <w:rFonts w:ascii="Arial" w:hAnsi="Arial" w:cs="Arial"/>
        </w:rPr>
        <w:t xml:space="preserve">WASH is improved </w:t>
      </w:r>
    </w:p>
    <w:p w14:paraId="6D120BA9" w14:textId="5CD5C47C" w:rsidR="00B41800" w:rsidRDefault="006560F0" w:rsidP="00AC1543">
      <w:pPr>
        <w:rPr>
          <w:rFonts w:ascii="Arial" w:hAnsi="Arial" w:cs="Arial"/>
          <w:szCs w:val="24"/>
        </w:rPr>
      </w:pPr>
      <w:r w:rsidRPr="002965EC">
        <w:rPr>
          <w:rFonts w:ascii="Arial" w:hAnsi="Arial" w:cs="Arial"/>
          <w:szCs w:val="24"/>
        </w:rPr>
        <w:t xml:space="preserve">A critical social protection measure within the criminal justice cluster is the roll out of sexual offences courts, provision of intermediary service to children who are victims of sexual offences, victim support </w:t>
      </w:r>
      <w:proofErr w:type="spellStart"/>
      <w:r w:rsidRPr="002965EC">
        <w:rPr>
          <w:rFonts w:ascii="Arial" w:hAnsi="Arial" w:cs="Arial"/>
          <w:szCs w:val="24"/>
        </w:rPr>
        <w:t>centres</w:t>
      </w:r>
      <w:proofErr w:type="spellEnd"/>
      <w:r w:rsidRPr="002965EC">
        <w:rPr>
          <w:rFonts w:ascii="Arial" w:hAnsi="Arial" w:cs="Arial"/>
          <w:szCs w:val="24"/>
        </w:rPr>
        <w:t xml:space="preserve"> such as </w:t>
      </w:r>
      <w:proofErr w:type="spellStart"/>
      <w:r w:rsidRPr="002965EC">
        <w:rPr>
          <w:rFonts w:ascii="Arial" w:hAnsi="Arial" w:cs="Arial"/>
          <w:szCs w:val="24"/>
        </w:rPr>
        <w:t>Thuthuzela</w:t>
      </w:r>
      <w:proofErr w:type="spellEnd"/>
      <w:r w:rsidRPr="002965EC">
        <w:rPr>
          <w:rFonts w:ascii="Arial" w:hAnsi="Arial" w:cs="Arial"/>
          <w:szCs w:val="24"/>
        </w:rPr>
        <w:t xml:space="preserve"> and </w:t>
      </w:r>
      <w:proofErr w:type="spellStart"/>
      <w:r w:rsidRPr="002965EC">
        <w:rPr>
          <w:rFonts w:ascii="Arial" w:hAnsi="Arial" w:cs="Arial"/>
          <w:szCs w:val="24"/>
        </w:rPr>
        <w:t>Khuseleka</w:t>
      </w:r>
      <w:proofErr w:type="spellEnd"/>
      <w:r w:rsidRPr="002965EC">
        <w:rPr>
          <w:rFonts w:ascii="Arial" w:hAnsi="Arial" w:cs="Arial"/>
          <w:szCs w:val="24"/>
        </w:rPr>
        <w:t xml:space="preserve">, shelters for abused women managed by civil society </w:t>
      </w:r>
      <w:proofErr w:type="spellStart"/>
      <w:r w:rsidRPr="002965EC">
        <w:rPr>
          <w:rFonts w:ascii="Arial" w:hAnsi="Arial" w:cs="Arial"/>
          <w:szCs w:val="24"/>
        </w:rPr>
        <w:t>organisations</w:t>
      </w:r>
      <w:proofErr w:type="spellEnd"/>
      <w:r w:rsidRPr="002965EC">
        <w:rPr>
          <w:rFonts w:ascii="Arial" w:hAnsi="Arial" w:cs="Arial"/>
          <w:szCs w:val="24"/>
        </w:rPr>
        <w:t>, that provide medico-legal services and various forms of psycho-social support offered by psychologists, social workers, court preparation services and a 24hr gender</w:t>
      </w:r>
      <w:r w:rsidR="00AC1543">
        <w:rPr>
          <w:rFonts w:ascii="Arial" w:hAnsi="Arial" w:cs="Arial"/>
          <w:szCs w:val="24"/>
        </w:rPr>
        <w:t xml:space="preserve"> based violence command </w:t>
      </w:r>
      <w:proofErr w:type="spellStart"/>
      <w:r w:rsidR="00AC1543">
        <w:rPr>
          <w:rFonts w:ascii="Arial" w:hAnsi="Arial" w:cs="Arial"/>
          <w:szCs w:val="24"/>
        </w:rPr>
        <w:t>centre</w:t>
      </w:r>
      <w:proofErr w:type="spellEnd"/>
      <w:r w:rsidR="00AC1543">
        <w:rPr>
          <w:rFonts w:ascii="Arial" w:hAnsi="Arial" w:cs="Arial"/>
          <w:szCs w:val="24"/>
        </w:rPr>
        <w:t>.</w:t>
      </w:r>
    </w:p>
    <w:p w14:paraId="0FDFBFF6" w14:textId="77777777" w:rsidR="00AC1543" w:rsidRPr="00AC1543" w:rsidRDefault="00AC1543" w:rsidP="00AC1543">
      <w:pPr>
        <w:rPr>
          <w:rFonts w:ascii="Arial" w:hAnsi="Arial" w:cs="Arial"/>
          <w:szCs w:val="24"/>
        </w:rPr>
      </w:pPr>
    </w:p>
    <w:p w14:paraId="6856329A" w14:textId="77777777" w:rsidR="005366D5" w:rsidRPr="002965EC" w:rsidRDefault="00861029" w:rsidP="00827862">
      <w:pPr>
        <w:pStyle w:val="Heading1"/>
        <w:rPr>
          <w:rFonts w:ascii="Arial" w:hAnsi="Arial" w:cs="Arial"/>
        </w:rPr>
      </w:pPr>
      <w:bookmarkStart w:id="31" w:name="_Toc2094131"/>
      <w:r w:rsidRPr="002965EC">
        <w:rPr>
          <w:rFonts w:ascii="Arial" w:hAnsi="Arial" w:cs="Arial"/>
        </w:rPr>
        <w:t>CHALLENGES AND OPPORTUNITIES</w:t>
      </w:r>
      <w:bookmarkEnd w:id="31"/>
      <w:r w:rsidR="005366D5" w:rsidRPr="002965EC">
        <w:rPr>
          <w:rFonts w:ascii="Arial" w:hAnsi="Arial" w:cs="Arial"/>
        </w:rPr>
        <w:t xml:space="preserve"> </w:t>
      </w:r>
    </w:p>
    <w:p w14:paraId="4DE02EDD" w14:textId="77777777" w:rsidR="006F2B6B" w:rsidRPr="002965EC" w:rsidRDefault="006F2B6B" w:rsidP="00222085">
      <w:pPr>
        <w:rPr>
          <w:rFonts w:ascii="Arial" w:hAnsi="Arial" w:cs="Arial"/>
          <w:szCs w:val="24"/>
        </w:rPr>
      </w:pPr>
    </w:p>
    <w:p w14:paraId="2C72A3DC" w14:textId="77777777" w:rsidR="00222085" w:rsidRPr="002965EC" w:rsidRDefault="00222085" w:rsidP="00222085">
      <w:pPr>
        <w:rPr>
          <w:rFonts w:ascii="Arial" w:hAnsi="Arial" w:cs="Arial"/>
          <w:szCs w:val="24"/>
        </w:rPr>
      </w:pPr>
      <w:r w:rsidRPr="002965EC">
        <w:rPr>
          <w:rFonts w:ascii="Arial" w:hAnsi="Arial" w:cs="Arial"/>
          <w:szCs w:val="24"/>
        </w:rPr>
        <w:t>Women and girls remain the worst affected by access to social protection services and infrastructure (including water &amp; sanitation, energy, transport, ICT, health, education) and spatial marginalization.</w:t>
      </w:r>
    </w:p>
    <w:p w14:paraId="45050504" w14:textId="77777777" w:rsidR="00222085" w:rsidRDefault="00222085" w:rsidP="00222085">
      <w:pPr>
        <w:rPr>
          <w:rFonts w:ascii="Arial" w:hAnsi="Arial" w:cs="Arial"/>
          <w:szCs w:val="24"/>
        </w:rPr>
      </w:pPr>
      <w:r w:rsidRPr="002965EC">
        <w:rPr>
          <w:rFonts w:ascii="Arial" w:hAnsi="Arial" w:cs="Arial"/>
          <w:szCs w:val="24"/>
        </w:rPr>
        <w:t xml:space="preserve">While South Africa has made tremendous progress in expanding access to social protection, a number of challenges and opportunities can be identified.  These are listed below.  </w:t>
      </w:r>
    </w:p>
    <w:p w14:paraId="15D3FDF6" w14:textId="77777777" w:rsidR="00AC1543" w:rsidRPr="002965EC" w:rsidRDefault="00AC1543" w:rsidP="00222085">
      <w:pPr>
        <w:rPr>
          <w:rFonts w:ascii="Arial" w:hAnsi="Arial" w:cs="Arial"/>
          <w:szCs w:val="24"/>
        </w:rPr>
      </w:pPr>
    </w:p>
    <w:p w14:paraId="6C9E38FA" w14:textId="77777777" w:rsidR="00222085" w:rsidRPr="002965EC" w:rsidRDefault="00222085" w:rsidP="00222085">
      <w:pPr>
        <w:pStyle w:val="Heading2"/>
        <w:rPr>
          <w:rFonts w:ascii="Arial" w:hAnsi="Arial" w:cs="Arial"/>
        </w:rPr>
      </w:pPr>
      <w:bookmarkStart w:id="32" w:name="_Toc2094132"/>
      <w:r w:rsidRPr="002965EC">
        <w:rPr>
          <w:rFonts w:ascii="Arial" w:hAnsi="Arial" w:cs="Arial"/>
        </w:rPr>
        <w:lastRenderedPageBreak/>
        <w:t>Legislation and policy</w:t>
      </w:r>
      <w:bookmarkEnd w:id="32"/>
    </w:p>
    <w:p w14:paraId="0CFCB673" w14:textId="77777777" w:rsidR="00222085" w:rsidRPr="002965EC" w:rsidRDefault="00222085" w:rsidP="00222085">
      <w:pPr>
        <w:rPr>
          <w:rFonts w:ascii="Arial" w:hAnsi="Arial" w:cs="Arial"/>
          <w:b/>
          <w:szCs w:val="24"/>
        </w:rPr>
      </w:pPr>
      <w:r w:rsidRPr="002965EC">
        <w:rPr>
          <w:rFonts w:ascii="Arial" w:hAnsi="Arial" w:cs="Arial"/>
          <w:b/>
          <w:i/>
          <w:szCs w:val="24"/>
        </w:rPr>
        <w:t>Implementation of social protection policies and legislation</w:t>
      </w:r>
      <w:r w:rsidRPr="002965EC">
        <w:rPr>
          <w:rFonts w:ascii="Arial" w:hAnsi="Arial" w:cs="Arial"/>
          <w:b/>
          <w:szCs w:val="24"/>
        </w:rPr>
        <w:t xml:space="preserve">. </w:t>
      </w:r>
    </w:p>
    <w:p w14:paraId="55F01558" w14:textId="77777777" w:rsidR="00222085" w:rsidRPr="002965EC" w:rsidRDefault="00222085" w:rsidP="00222085">
      <w:pPr>
        <w:rPr>
          <w:rFonts w:ascii="Arial" w:hAnsi="Arial" w:cs="Arial"/>
          <w:szCs w:val="24"/>
        </w:rPr>
      </w:pPr>
      <w:r w:rsidRPr="002965EC">
        <w:rPr>
          <w:rFonts w:ascii="Arial" w:hAnsi="Arial" w:cs="Arial"/>
          <w:szCs w:val="24"/>
        </w:rPr>
        <w:t xml:space="preserve">While South Africa has commendable policies and legislation these policies cannot be enforced. This is true for minimum wage conditions for domestic workers (Sectoral determination 7: Domestic workers) and farm workers (Sectoral Determination 8), as well as UIF contributions for these groups. Further, the equal pay for work of equal value is difficult to implement in the private sector. </w:t>
      </w:r>
    </w:p>
    <w:p w14:paraId="766FBA51" w14:textId="77777777" w:rsidR="002F6C9A" w:rsidRPr="002965EC" w:rsidRDefault="002F6C9A" w:rsidP="00222085">
      <w:pPr>
        <w:rPr>
          <w:rFonts w:ascii="Arial" w:hAnsi="Arial" w:cs="Arial"/>
          <w:szCs w:val="24"/>
        </w:rPr>
      </w:pPr>
    </w:p>
    <w:p w14:paraId="374B9E1A" w14:textId="77777777" w:rsidR="00222085" w:rsidRPr="002965EC" w:rsidRDefault="00222085" w:rsidP="00222085">
      <w:pPr>
        <w:pStyle w:val="Heading2"/>
        <w:rPr>
          <w:rFonts w:ascii="Arial" w:hAnsi="Arial" w:cs="Arial"/>
        </w:rPr>
      </w:pPr>
      <w:bookmarkStart w:id="33" w:name="_Toc2094133"/>
      <w:r w:rsidRPr="002965EC">
        <w:rPr>
          <w:rFonts w:ascii="Arial" w:hAnsi="Arial" w:cs="Arial"/>
        </w:rPr>
        <w:t>Budgeting and Funding</w:t>
      </w:r>
      <w:bookmarkEnd w:id="33"/>
    </w:p>
    <w:p w14:paraId="6AFD1BD7" w14:textId="77777777" w:rsidR="00222085" w:rsidRPr="002965EC" w:rsidRDefault="00222085" w:rsidP="00222085">
      <w:pPr>
        <w:rPr>
          <w:rFonts w:ascii="Arial" w:hAnsi="Arial" w:cs="Arial"/>
          <w:b/>
          <w:i/>
          <w:szCs w:val="24"/>
        </w:rPr>
      </w:pPr>
      <w:r w:rsidRPr="002965EC">
        <w:rPr>
          <w:rFonts w:ascii="Arial" w:hAnsi="Arial" w:cs="Arial"/>
          <w:b/>
          <w:i/>
          <w:szCs w:val="24"/>
        </w:rPr>
        <w:t>Limited fiscus to provide social security</w:t>
      </w:r>
    </w:p>
    <w:p w14:paraId="0B22037D" w14:textId="77777777" w:rsidR="00222085" w:rsidRPr="002965EC" w:rsidRDefault="00222085" w:rsidP="00222085">
      <w:pPr>
        <w:rPr>
          <w:rFonts w:ascii="Arial" w:hAnsi="Arial" w:cs="Arial"/>
          <w:szCs w:val="24"/>
        </w:rPr>
      </w:pPr>
      <w:r w:rsidRPr="002965EC">
        <w:rPr>
          <w:rFonts w:ascii="Arial" w:hAnsi="Arial" w:cs="Arial"/>
          <w:szCs w:val="24"/>
        </w:rPr>
        <w:t>The tax burden on providing social security remains a challenge for the country. However, social assistance has been able to alleviate poverty in many sectors. It is incumbent on government and the private sector to ensure that investments in e</w:t>
      </w:r>
      <w:r w:rsidR="0064460C" w:rsidRPr="002965EC">
        <w:rPr>
          <w:rFonts w:ascii="Arial" w:hAnsi="Arial" w:cs="Arial"/>
          <w:szCs w:val="24"/>
        </w:rPr>
        <w:t xml:space="preserve">ducation and employment are </w:t>
      </w:r>
      <w:proofErr w:type="spellStart"/>
      <w:r w:rsidR="0064460C" w:rsidRPr="002965EC">
        <w:rPr>
          <w:rFonts w:ascii="Arial" w:hAnsi="Arial" w:cs="Arial"/>
          <w:szCs w:val="24"/>
        </w:rPr>
        <w:t>pri</w:t>
      </w:r>
      <w:r w:rsidRPr="002965EC">
        <w:rPr>
          <w:rFonts w:ascii="Arial" w:hAnsi="Arial" w:cs="Arial"/>
          <w:szCs w:val="24"/>
        </w:rPr>
        <w:t>oritised</w:t>
      </w:r>
      <w:proofErr w:type="spellEnd"/>
      <w:r w:rsidRPr="002965EC">
        <w:rPr>
          <w:rFonts w:ascii="Arial" w:hAnsi="Arial" w:cs="Arial"/>
          <w:szCs w:val="24"/>
        </w:rPr>
        <w:t xml:space="preserve"> as well as focusing on girls and women so that this can reduce the dependency on the state but instead have contributory social protection which comes from social insurance. </w:t>
      </w:r>
      <w:proofErr w:type="spellStart"/>
      <w:r w:rsidRPr="002965EC">
        <w:rPr>
          <w:rFonts w:ascii="Arial" w:hAnsi="Arial" w:cs="Arial"/>
          <w:szCs w:val="24"/>
        </w:rPr>
        <w:t>Prioritising</w:t>
      </w:r>
      <w:proofErr w:type="spellEnd"/>
      <w:r w:rsidRPr="002965EC">
        <w:rPr>
          <w:rFonts w:ascii="Arial" w:hAnsi="Arial" w:cs="Arial"/>
          <w:szCs w:val="24"/>
        </w:rPr>
        <w:t xml:space="preserve"> ECD remains an important intervention to improve on educational outcomes in the country. </w:t>
      </w:r>
    </w:p>
    <w:p w14:paraId="32EC99F8" w14:textId="77777777" w:rsidR="00222085" w:rsidRPr="002965EC" w:rsidRDefault="00222085" w:rsidP="00222085">
      <w:pPr>
        <w:rPr>
          <w:rFonts w:ascii="Arial" w:hAnsi="Arial" w:cs="Arial"/>
          <w:b/>
          <w:i/>
        </w:rPr>
      </w:pPr>
      <w:r w:rsidRPr="002965EC">
        <w:rPr>
          <w:rFonts w:ascii="Arial" w:hAnsi="Arial" w:cs="Arial"/>
          <w:b/>
          <w:i/>
        </w:rPr>
        <w:t xml:space="preserve">Gender-responsive budgeting </w:t>
      </w:r>
    </w:p>
    <w:p w14:paraId="39DB847A" w14:textId="77777777" w:rsidR="00222085" w:rsidRPr="002965EC" w:rsidRDefault="00222085" w:rsidP="00222085">
      <w:pPr>
        <w:rPr>
          <w:rFonts w:ascii="Arial" w:hAnsi="Arial" w:cs="Arial"/>
        </w:rPr>
      </w:pPr>
      <w:r w:rsidRPr="002965EC">
        <w:rPr>
          <w:rFonts w:ascii="Arial" w:hAnsi="Arial" w:cs="Arial"/>
        </w:rPr>
        <w:t>Gender-responsive budgeting</w:t>
      </w:r>
      <w:r w:rsidRPr="002965EC">
        <w:rPr>
          <w:rFonts w:ascii="Arial" w:hAnsi="Arial" w:cs="Arial"/>
          <w:b/>
          <w:i/>
        </w:rPr>
        <w:t xml:space="preserve"> </w:t>
      </w:r>
      <w:r w:rsidRPr="002965EC">
        <w:rPr>
          <w:rFonts w:ascii="Arial" w:hAnsi="Arial" w:cs="Arial"/>
        </w:rPr>
        <w:t xml:space="preserve">can be used to </w:t>
      </w:r>
      <w:proofErr w:type="spellStart"/>
      <w:r w:rsidRPr="002965EC">
        <w:rPr>
          <w:rFonts w:ascii="Arial" w:hAnsi="Arial" w:cs="Arial"/>
        </w:rPr>
        <w:t>analyse</w:t>
      </w:r>
      <w:proofErr w:type="spellEnd"/>
      <w:r w:rsidRPr="002965EC">
        <w:rPr>
          <w:rFonts w:ascii="Arial" w:hAnsi="Arial" w:cs="Arial"/>
        </w:rPr>
        <w:t xml:space="preserve"> and transform fiscal policies to direct resources to address inequalities and to monitor the impact of public spending decisions on empowering women and girls.</w:t>
      </w:r>
    </w:p>
    <w:p w14:paraId="35761DCE" w14:textId="77777777" w:rsidR="00222085" w:rsidRDefault="00222085" w:rsidP="00222085">
      <w:pPr>
        <w:rPr>
          <w:rFonts w:ascii="Arial" w:hAnsi="Arial" w:cs="Arial"/>
        </w:rPr>
      </w:pPr>
      <w:r w:rsidRPr="002965EC">
        <w:rPr>
          <w:rFonts w:ascii="Arial" w:hAnsi="Arial" w:cs="Arial"/>
        </w:rPr>
        <w:t xml:space="preserve">Commitments were made in </w:t>
      </w:r>
      <w:r w:rsidRPr="002965EC">
        <w:rPr>
          <w:rFonts w:ascii="Arial" w:hAnsi="Arial" w:cs="Arial"/>
          <w:b/>
        </w:rPr>
        <w:t xml:space="preserve">the Declaration of the Gender Responsive Planning and Budgeting Summit </w:t>
      </w:r>
      <w:r w:rsidRPr="002965EC">
        <w:rPr>
          <w:rFonts w:ascii="Arial" w:hAnsi="Arial" w:cs="Arial"/>
        </w:rPr>
        <w:t xml:space="preserve">to ensure the development and implementation of a Gender-Responsive Planning, Budgeting, Monitoring, Evaluation and Auditing Framework in South Africa. All government Departments and public entities at national, provincial and local level are expected to </w:t>
      </w:r>
      <w:proofErr w:type="spellStart"/>
      <w:r w:rsidRPr="002965EC">
        <w:rPr>
          <w:rFonts w:ascii="Arial" w:hAnsi="Arial" w:cs="Arial"/>
        </w:rPr>
        <w:t>Institutionalise</w:t>
      </w:r>
      <w:proofErr w:type="spellEnd"/>
      <w:r w:rsidRPr="002965EC">
        <w:rPr>
          <w:rFonts w:ascii="Arial" w:hAnsi="Arial" w:cs="Arial"/>
        </w:rPr>
        <w:t xml:space="preserve"> gender-responsive planning and budgeting systems, including within the Mandate Paper, Medium Term Strategic Plan, Strategic Plans, Annual Performance Plans and Budgets. They are also expected to develop and implement gender-responsive monitoring, reporting and evaluation systems including regular performance and expenditure reviews on gender equality and women’s empowerment. The Department of Women has developed a Gender-Responsive Budgeting Framework. The approach works on the assumption that the achievement of country gender outcomes and sustainable impacts requires: </w:t>
      </w:r>
    </w:p>
    <w:p w14:paraId="00C285B0" w14:textId="77777777" w:rsidR="00AC1543" w:rsidRPr="002965EC" w:rsidRDefault="00AC1543" w:rsidP="00222085">
      <w:pPr>
        <w:rPr>
          <w:rFonts w:ascii="Arial" w:hAnsi="Arial" w:cs="Arial"/>
        </w:rPr>
      </w:pPr>
    </w:p>
    <w:p w14:paraId="0F622761" w14:textId="77777777" w:rsidR="00222085" w:rsidRPr="002965EC" w:rsidRDefault="00222085" w:rsidP="00A63A02">
      <w:pPr>
        <w:pStyle w:val="ListParagraph"/>
        <w:numPr>
          <w:ilvl w:val="0"/>
          <w:numId w:val="4"/>
        </w:numPr>
        <w:spacing w:after="160" w:line="259" w:lineRule="auto"/>
        <w:rPr>
          <w:rFonts w:ascii="Arial" w:hAnsi="Arial" w:cs="Arial"/>
        </w:rPr>
      </w:pPr>
      <w:r w:rsidRPr="002965EC">
        <w:rPr>
          <w:rFonts w:ascii="Arial" w:hAnsi="Arial" w:cs="Arial"/>
        </w:rPr>
        <w:lastRenderedPageBreak/>
        <w:t xml:space="preserve">Setting clear gender-responsive policy priorities across government based on evidence; </w:t>
      </w:r>
    </w:p>
    <w:p w14:paraId="438D68EA" w14:textId="77777777" w:rsidR="00222085" w:rsidRPr="002965EC" w:rsidRDefault="00222085" w:rsidP="00A63A02">
      <w:pPr>
        <w:pStyle w:val="ListParagraph"/>
        <w:numPr>
          <w:ilvl w:val="0"/>
          <w:numId w:val="4"/>
        </w:numPr>
        <w:spacing w:after="160" w:line="259" w:lineRule="auto"/>
        <w:rPr>
          <w:rFonts w:ascii="Arial" w:hAnsi="Arial" w:cs="Arial"/>
        </w:rPr>
      </w:pPr>
      <w:r w:rsidRPr="002965EC">
        <w:rPr>
          <w:rFonts w:ascii="Arial" w:hAnsi="Arial" w:cs="Arial"/>
        </w:rPr>
        <w:t xml:space="preserve">The translation of policy priorities into programmes with measurable programme outcomes and gender-responsive indicators and targets; </w:t>
      </w:r>
    </w:p>
    <w:p w14:paraId="22FEA716" w14:textId="77777777" w:rsidR="00222085" w:rsidRPr="002965EC" w:rsidRDefault="00222085" w:rsidP="00A63A02">
      <w:pPr>
        <w:pStyle w:val="ListParagraph"/>
        <w:numPr>
          <w:ilvl w:val="0"/>
          <w:numId w:val="4"/>
        </w:numPr>
        <w:spacing w:after="160" w:line="259" w:lineRule="auto"/>
        <w:rPr>
          <w:rFonts w:ascii="Arial" w:hAnsi="Arial" w:cs="Arial"/>
        </w:rPr>
      </w:pPr>
      <w:r w:rsidRPr="002965EC">
        <w:rPr>
          <w:rFonts w:ascii="Arial" w:hAnsi="Arial" w:cs="Arial"/>
        </w:rPr>
        <w:t>Ensuring the necessary budget allocations to achieve gender priorities as well as regular expenditure reviews to assess the extent to which particular expenditures indeed resulted in the intended gender equality and women’s empowerment outcomes.</w:t>
      </w:r>
    </w:p>
    <w:p w14:paraId="1E5CB4CF" w14:textId="77777777" w:rsidR="002F6C9A" w:rsidRPr="002965EC" w:rsidRDefault="002F6C9A" w:rsidP="002F6C9A">
      <w:pPr>
        <w:pStyle w:val="ListParagraph"/>
        <w:rPr>
          <w:rFonts w:ascii="Arial" w:hAnsi="Arial" w:cs="Arial"/>
          <w:szCs w:val="24"/>
        </w:rPr>
      </w:pPr>
    </w:p>
    <w:p w14:paraId="65913D6B" w14:textId="77777777" w:rsidR="002F6C9A" w:rsidRPr="002965EC" w:rsidRDefault="002F6C9A" w:rsidP="002F6C9A">
      <w:pPr>
        <w:rPr>
          <w:rFonts w:ascii="Arial" w:hAnsi="Arial" w:cs="Arial"/>
        </w:rPr>
      </w:pPr>
      <w:r w:rsidRPr="002965EC">
        <w:rPr>
          <w:rFonts w:ascii="Arial" w:hAnsi="Arial" w:cs="Arial"/>
        </w:rPr>
        <w:t>The review of the current national gender machinery is also underway. The purpose of the review is to strengthen the machinery, advocate for sufficient financial resources and enhance coordination of women’s empowerment and gender equality programmes.</w:t>
      </w:r>
    </w:p>
    <w:p w14:paraId="0FEE1202" w14:textId="77777777" w:rsidR="00222085" w:rsidRPr="002965EC" w:rsidRDefault="00222085" w:rsidP="00222085">
      <w:pPr>
        <w:rPr>
          <w:rFonts w:ascii="Arial" w:hAnsi="Arial" w:cs="Arial"/>
          <w:b/>
          <w:i/>
          <w:szCs w:val="24"/>
        </w:rPr>
      </w:pPr>
      <w:r w:rsidRPr="002965EC">
        <w:rPr>
          <w:rFonts w:ascii="Arial" w:hAnsi="Arial" w:cs="Arial"/>
          <w:b/>
          <w:i/>
          <w:szCs w:val="24"/>
        </w:rPr>
        <w:t>Limited access to social protection to all sectors of society</w:t>
      </w:r>
    </w:p>
    <w:p w14:paraId="3B358BED" w14:textId="77777777" w:rsidR="00222085" w:rsidRPr="002965EC" w:rsidRDefault="00222085" w:rsidP="00222085">
      <w:pPr>
        <w:rPr>
          <w:rFonts w:ascii="Arial" w:hAnsi="Arial" w:cs="Arial"/>
          <w:szCs w:val="24"/>
        </w:rPr>
      </w:pPr>
      <w:r w:rsidRPr="002965EC">
        <w:rPr>
          <w:rFonts w:ascii="Arial" w:hAnsi="Arial" w:cs="Arial"/>
        </w:rPr>
        <w:t xml:space="preserve">Despite remarkable achievements in accessing social grants, not all South Africans who qualify for grants are managing to access them. Further, </w:t>
      </w:r>
      <w:proofErr w:type="spellStart"/>
      <w:r w:rsidRPr="002965EC">
        <w:rPr>
          <w:rFonts w:ascii="Arial" w:hAnsi="Arial" w:cs="Arial"/>
          <w:szCs w:val="24"/>
        </w:rPr>
        <w:t>Lollo</w:t>
      </w:r>
      <w:proofErr w:type="spellEnd"/>
      <w:r w:rsidRPr="002965EC">
        <w:rPr>
          <w:rFonts w:ascii="Arial" w:hAnsi="Arial" w:cs="Arial"/>
          <w:szCs w:val="24"/>
        </w:rPr>
        <w:t xml:space="preserve"> (2012) argues that there is currently no real policy framework on including migrants into social protection systems. However, people with refugee status are able to claim the Foster Care grant and disability grants if all requirements are met. Women and girls in the informal sector are not covered by UIF as would be the cases among women who are in low paid jobs or in small and medium enterprises. Generally social protection in South Africa caters for the children and older persons. However there is need to cater for women and girls during the life course hence a need to pay attention to the missing middle (19-60 years old). Girls that are not in education, employments and training may not have any access to social protection as would be the case with their peers. </w:t>
      </w:r>
    </w:p>
    <w:p w14:paraId="1045DB97" w14:textId="77777777" w:rsidR="00222085" w:rsidRPr="002965EC" w:rsidRDefault="00222085" w:rsidP="00222085">
      <w:pPr>
        <w:rPr>
          <w:rFonts w:ascii="Arial" w:hAnsi="Arial" w:cs="Arial"/>
          <w:szCs w:val="24"/>
        </w:rPr>
      </w:pPr>
      <w:r w:rsidRPr="002965EC">
        <w:rPr>
          <w:rFonts w:ascii="Arial" w:hAnsi="Arial" w:cs="Arial"/>
          <w:szCs w:val="24"/>
        </w:rPr>
        <w:t xml:space="preserve">Although disability grants are available to women and girls, these are not known from those who might need them. A particular case in point would be those suffering from mental health illness. There is a need to raise awareness on mental health and to ensure that women and girls know their rights. </w:t>
      </w:r>
    </w:p>
    <w:p w14:paraId="6305F72F" w14:textId="77777777" w:rsidR="00222085" w:rsidRPr="002965EC" w:rsidRDefault="00222085" w:rsidP="00222085">
      <w:pPr>
        <w:rPr>
          <w:rFonts w:ascii="Arial" w:hAnsi="Arial" w:cs="Arial"/>
          <w:i/>
          <w:szCs w:val="24"/>
        </w:rPr>
      </w:pPr>
      <w:r w:rsidRPr="002965EC">
        <w:rPr>
          <w:rFonts w:ascii="Arial" w:hAnsi="Arial" w:cs="Arial"/>
          <w:b/>
          <w:i/>
          <w:szCs w:val="24"/>
        </w:rPr>
        <w:t xml:space="preserve">Limited access on public services to sectors of society </w:t>
      </w:r>
    </w:p>
    <w:p w14:paraId="76E8C347" w14:textId="77777777" w:rsidR="00222085" w:rsidRPr="002965EC" w:rsidRDefault="00222085" w:rsidP="00222085">
      <w:pPr>
        <w:rPr>
          <w:rFonts w:ascii="Arial" w:hAnsi="Arial" w:cs="Arial"/>
          <w:szCs w:val="24"/>
        </w:rPr>
      </w:pPr>
      <w:r w:rsidRPr="002965EC">
        <w:rPr>
          <w:rFonts w:ascii="Arial" w:hAnsi="Arial" w:cs="Arial"/>
          <w:szCs w:val="24"/>
        </w:rPr>
        <w:t>Public transport systems do not cater for the disabled such as ramps for those on wheel chairs or even space on the bus where the wheel chair can be placed. This is also similar for women travelling with children who are on a pusher.</w:t>
      </w:r>
    </w:p>
    <w:p w14:paraId="5A9868A3" w14:textId="77777777" w:rsidR="00222085" w:rsidRPr="002965EC" w:rsidRDefault="00222085" w:rsidP="00222085">
      <w:pPr>
        <w:pStyle w:val="Heading2"/>
        <w:rPr>
          <w:rFonts w:ascii="Arial" w:hAnsi="Arial" w:cs="Arial"/>
        </w:rPr>
      </w:pPr>
      <w:bookmarkStart w:id="34" w:name="_Toc2094134"/>
      <w:r w:rsidRPr="002965EC">
        <w:rPr>
          <w:rFonts w:ascii="Arial" w:hAnsi="Arial" w:cs="Arial"/>
        </w:rPr>
        <w:t>Labour Sector and Markets</w:t>
      </w:r>
      <w:bookmarkEnd w:id="34"/>
    </w:p>
    <w:p w14:paraId="23F31A25" w14:textId="77777777" w:rsidR="00C07C2E" w:rsidRPr="00F13E5B" w:rsidRDefault="00222085" w:rsidP="00222085">
      <w:pPr>
        <w:rPr>
          <w:rFonts w:ascii="Arial" w:hAnsi="Arial" w:cs="Arial"/>
        </w:rPr>
      </w:pPr>
      <w:r w:rsidRPr="002965EC">
        <w:rPr>
          <w:rFonts w:ascii="Arial" w:hAnsi="Arial" w:cs="Arial"/>
        </w:rPr>
        <w:t xml:space="preserve">Notwithstanding a significant increase in women’s labour force participation, women continue to participate less in the labour market than men, earn lower wages and interrupt their participation more often to care for </w:t>
      </w:r>
      <w:r w:rsidR="00B92A26" w:rsidRPr="002965EC">
        <w:rPr>
          <w:rFonts w:ascii="Arial" w:hAnsi="Arial" w:cs="Arial"/>
        </w:rPr>
        <w:t>dependents</w:t>
      </w:r>
      <w:r w:rsidR="00F13E5B">
        <w:rPr>
          <w:rFonts w:ascii="Arial" w:hAnsi="Arial" w:cs="Arial"/>
        </w:rPr>
        <w:t>.</w:t>
      </w:r>
    </w:p>
    <w:p w14:paraId="403ECA9E" w14:textId="77777777" w:rsidR="00222085" w:rsidRPr="002965EC" w:rsidRDefault="00222085" w:rsidP="00222085">
      <w:pPr>
        <w:rPr>
          <w:rFonts w:ascii="Arial" w:hAnsi="Arial" w:cs="Arial"/>
          <w:b/>
          <w:i/>
        </w:rPr>
      </w:pPr>
      <w:r w:rsidRPr="002965EC">
        <w:rPr>
          <w:rFonts w:ascii="Arial" w:hAnsi="Arial" w:cs="Arial"/>
          <w:b/>
          <w:i/>
        </w:rPr>
        <w:lastRenderedPageBreak/>
        <w:t>Unpaid labour inclusion into the GDP</w:t>
      </w:r>
    </w:p>
    <w:p w14:paraId="43EFECAF" w14:textId="77777777" w:rsidR="00222085" w:rsidRPr="002965EC" w:rsidRDefault="00222085" w:rsidP="00222085">
      <w:pPr>
        <w:rPr>
          <w:rFonts w:ascii="Arial" w:hAnsi="Arial" w:cs="Arial"/>
          <w:szCs w:val="24"/>
        </w:rPr>
      </w:pPr>
      <w:r w:rsidRPr="002965EC">
        <w:rPr>
          <w:rFonts w:ascii="Arial" w:hAnsi="Arial" w:cs="Arial"/>
          <w:szCs w:val="24"/>
        </w:rPr>
        <w:t>Women’s unpaid labour within the household can be regarded as an indirect tax on women in the main, given that it is chiefly women who perform household and care work, including in the fetching of water and fire wood/fuel for cooking.</w:t>
      </w:r>
    </w:p>
    <w:p w14:paraId="6657D4E2" w14:textId="77777777" w:rsidR="00F13E5B" w:rsidRDefault="00F13E5B" w:rsidP="00222085">
      <w:pPr>
        <w:rPr>
          <w:rFonts w:ascii="Arial" w:hAnsi="Arial" w:cs="Arial"/>
          <w:b/>
          <w:i/>
          <w:szCs w:val="24"/>
        </w:rPr>
      </w:pPr>
    </w:p>
    <w:p w14:paraId="528EBDBD" w14:textId="77777777" w:rsidR="00222085" w:rsidRPr="002965EC" w:rsidRDefault="00222085" w:rsidP="00222085">
      <w:pPr>
        <w:rPr>
          <w:rFonts w:ascii="Arial" w:hAnsi="Arial" w:cs="Arial"/>
          <w:b/>
          <w:i/>
          <w:szCs w:val="24"/>
        </w:rPr>
      </w:pPr>
      <w:r w:rsidRPr="002965EC">
        <w:rPr>
          <w:rFonts w:ascii="Arial" w:hAnsi="Arial" w:cs="Arial"/>
          <w:b/>
          <w:i/>
          <w:szCs w:val="24"/>
        </w:rPr>
        <w:t>Inequity in wages</w:t>
      </w:r>
    </w:p>
    <w:p w14:paraId="4911DB1E" w14:textId="77777777" w:rsidR="00222085" w:rsidRPr="002965EC" w:rsidRDefault="00222085" w:rsidP="00222085">
      <w:pPr>
        <w:rPr>
          <w:rFonts w:ascii="Arial" w:hAnsi="Arial" w:cs="Arial"/>
          <w:szCs w:val="24"/>
        </w:rPr>
      </w:pPr>
      <w:r w:rsidRPr="002965EC">
        <w:rPr>
          <w:rFonts w:ascii="Arial" w:hAnsi="Arial" w:cs="Arial"/>
          <w:szCs w:val="24"/>
        </w:rPr>
        <w:t xml:space="preserve">Wage discrimination over the past 25 years remains the biggest bane to the working woman. This form of inequality has been overt and </w:t>
      </w:r>
      <w:r w:rsidR="00B92A26" w:rsidRPr="002965EC">
        <w:rPr>
          <w:rFonts w:ascii="Arial" w:hAnsi="Arial" w:cs="Arial"/>
          <w:szCs w:val="24"/>
        </w:rPr>
        <w:t>practiced</w:t>
      </w:r>
      <w:r w:rsidRPr="002965EC">
        <w:rPr>
          <w:rFonts w:ascii="Arial" w:hAnsi="Arial" w:cs="Arial"/>
          <w:szCs w:val="24"/>
        </w:rPr>
        <w:t xml:space="preserve"> indiscriminately and with impunity, because the workforce is skewed towards men and lies fundamentally in the hands of men, mainly white males.  Wage discrimination continues despite prohibition under the Labour Relations Act, No 66 of 1995 and the Wage Act, No 5 of 1957. However, both acts had little impact over the past two decades as they related only to minimum wages. This inequality persists to date.</w:t>
      </w:r>
      <w:r w:rsidR="00350E10" w:rsidRPr="002965EC">
        <w:rPr>
          <w:rFonts w:ascii="Arial" w:hAnsi="Arial" w:cs="Arial"/>
          <w:szCs w:val="24"/>
        </w:rPr>
        <w:t xml:space="preserve"> The new minimum wage of R 3 500 or R20 per hour (convert to dollars), is expected to bring much relief to families. </w:t>
      </w:r>
    </w:p>
    <w:p w14:paraId="4D0FF779" w14:textId="77777777" w:rsidR="00222085" w:rsidRPr="002965EC" w:rsidRDefault="00222085" w:rsidP="00222085">
      <w:pPr>
        <w:rPr>
          <w:rFonts w:ascii="Arial" w:hAnsi="Arial" w:cs="Arial"/>
          <w:b/>
          <w:i/>
          <w:szCs w:val="24"/>
        </w:rPr>
      </w:pPr>
      <w:r w:rsidRPr="002965EC">
        <w:rPr>
          <w:rFonts w:ascii="Arial" w:hAnsi="Arial" w:cs="Arial"/>
          <w:b/>
          <w:i/>
        </w:rPr>
        <w:t>Continued occupational segregation</w:t>
      </w:r>
    </w:p>
    <w:p w14:paraId="7895B42C" w14:textId="77777777" w:rsidR="00222085" w:rsidRPr="002965EC" w:rsidRDefault="00222085" w:rsidP="00222085">
      <w:pPr>
        <w:rPr>
          <w:rFonts w:ascii="Arial" w:hAnsi="Arial" w:cs="Arial"/>
        </w:rPr>
      </w:pPr>
      <w:r w:rsidRPr="002965EC">
        <w:rPr>
          <w:rFonts w:ascii="Arial" w:hAnsi="Arial" w:cs="Arial"/>
        </w:rPr>
        <w:t>Even though women are exposed to formal labour markets, including in the extractive industries, opportunities are minimal or limited for them. One main factor in this is ‘occupational segregation’ defined as the division of the labour markets based on gender, which limits women’s employment opportunities in the sector, regardless of their experience or educational qualifications.</w:t>
      </w:r>
      <w:r w:rsidRPr="002965EC">
        <w:rPr>
          <w:rStyle w:val="FootnoteReference"/>
          <w:rFonts w:ascii="Arial" w:hAnsi="Arial" w:cs="Arial"/>
        </w:rPr>
        <w:footnoteReference w:id="14"/>
      </w:r>
      <w:r w:rsidRPr="002965EC">
        <w:rPr>
          <w:rFonts w:ascii="Arial" w:hAnsi="Arial" w:cs="Arial"/>
        </w:rPr>
        <w:t xml:space="preserve"> There are various reasons for these differences between industries. For instance, women have historically not been employed in large numbers in industries where jobs are dangerous and require physical strength. Thus, relatively few women have been employed in mining and construction. Such patterns may be perpetuated by attitudes towards women’s employment in those sectors (held by both men and women), as well as attitudes, preferences or even discrimination on the part of firms. Conversely, women’s dominance in CSP services is explained by the fact that female-dominated occupations such as nursing and teaching are concentrated within the industry; similarly, the vast majority of domestic workers in South Africa are female, explaining their dominance within private households. Globally, services sectors are found to be more accessible to women (ILO, 2010), explaining the relatively narrow gap in wholesale and retail trade and finance and business services.</w:t>
      </w:r>
    </w:p>
    <w:p w14:paraId="222DE64F" w14:textId="77777777" w:rsidR="00222085" w:rsidRPr="002965EC" w:rsidRDefault="00222085" w:rsidP="00222085">
      <w:pPr>
        <w:rPr>
          <w:rFonts w:ascii="Arial" w:hAnsi="Arial" w:cs="Arial"/>
          <w:b/>
          <w:i/>
          <w:color w:val="000000" w:themeColor="text1"/>
          <w:szCs w:val="24"/>
        </w:rPr>
      </w:pPr>
      <w:r w:rsidRPr="002965EC">
        <w:rPr>
          <w:rFonts w:ascii="Arial" w:hAnsi="Arial" w:cs="Arial"/>
          <w:b/>
          <w:i/>
          <w:color w:val="000000" w:themeColor="text1"/>
          <w:szCs w:val="24"/>
        </w:rPr>
        <w:t xml:space="preserve">Discrimination sexism in the workplace </w:t>
      </w:r>
    </w:p>
    <w:p w14:paraId="55E934F2" w14:textId="77777777" w:rsidR="00222085" w:rsidRPr="002965EC" w:rsidRDefault="00222085" w:rsidP="00222085">
      <w:pPr>
        <w:rPr>
          <w:rFonts w:ascii="Arial" w:hAnsi="Arial" w:cs="Arial"/>
          <w:color w:val="000000" w:themeColor="text1"/>
          <w:szCs w:val="24"/>
        </w:rPr>
      </w:pPr>
      <w:r w:rsidRPr="002965EC">
        <w:rPr>
          <w:rFonts w:ascii="Arial" w:hAnsi="Arial" w:cs="Arial"/>
          <w:color w:val="000000" w:themeColor="text1"/>
          <w:szCs w:val="24"/>
        </w:rPr>
        <w:t xml:space="preserve">One of the greatest challenges women have faced, and continue to experience, is that of discrimination and sexism in the area of employment and the labour force. These </w:t>
      </w:r>
      <w:r w:rsidRPr="002965EC">
        <w:rPr>
          <w:rFonts w:ascii="Arial" w:hAnsi="Arial" w:cs="Arial"/>
          <w:color w:val="000000" w:themeColor="text1"/>
          <w:szCs w:val="24"/>
        </w:rPr>
        <w:lastRenderedPageBreak/>
        <w:t xml:space="preserve">gender challenges are exacerbated by issues of race and class. Working class Black African women remain the most discriminated against in terms of employment, occupational levels and unfair labour practices to date. This is compounded by unequal pay disparities. In the early years following the advent of democracy, the intention was to unravel and dispel the stereotypical image of a worker as male, unhindered by family responsibilities and child care, unencumbered by household chores, one who enjoys leisure time, and one who is the bread winner and ultimately the decision-maker. </w:t>
      </w:r>
      <w:r w:rsidRPr="002965EC">
        <w:rPr>
          <w:rFonts w:ascii="Arial" w:hAnsi="Arial" w:cs="Arial"/>
          <w:color w:val="000000" w:themeColor="text1"/>
        </w:rPr>
        <w:t xml:space="preserve">Unfortunately, </w:t>
      </w:r>
      <w:r w:rsidRPr="002965EC">
        <w:rPr>
          <w:rFonts w:ascii="Arial" w:hAnsi="Arial" w:cs="Arial"/>
          <w:color w:val="000000" w:themeColor="text1"/>
          <w:szCs w:val="24"/>
        </w:rPr>
        <w:t xml:space="preserve">the </w:t>
      </w:r>
      <w:r w:rsidRPr="002965EC">
        <w:rPr>
          <w:rFonts w:ascii="Arial" w:hAnsi="Arial" w:cs="Arial"/>
          <w:color w:val="000000" w:themeColor="text1"/>
        </w:rPr>
        <w:t xml:space="preserve">forward-looking laws such the </w:t>
      </w:r>
      <w:r w:rsidRPr="002965EC">
        <w:rPr>
          <w:rFonts w:ascii="Arial" w:hAnsi="Arial" w:cs="Arial"/>
          <w:color w:val="000000" w:themeColor="text1"/>
          <w:szCs w:val="24"/>
        </w:rPr>
        <w:t xml:space="preserve">Constitution, Article 11 of CEDAW and the ILO Conventions, including the Convention of 1958 on Discrimination (Employment and Occupation) (C111); and the Convention of 1951 on Equal Remuneration (C100), among others </w:t>
      </w:r>
      <w:r w:rsidRPr="002965EC">
        <w:rPr>
          <w:rFonts w:ascii="Arial" w:hAnsi="Arial" w:cs="Arial"/>
          <w:color w:val="000000" w:themeColor="text1"/>
        </w:rPr>
        <w:t>have not translated into practical reality for many women and poor and inadequate implementation has resulted in women’s unemployment, especially that of young women, being the highest in the country. Young women are the most discouraged work seekers</w:t>
      </w:r>
      <w:r w:rsidRPr="002965EC">
        <w:rPr>
          <w:rStyle w:val="FootnoteReference"/>
          <w:rFonts w:ascii="Arial" w:hAnsi="Arial" w:cs="Arial"/>
          <w:color w:val="000000" w:themeColor="text1"/>
          <w:szCs w:val="24"/>
        </w:rPr>
        <w:footnoteReference w:id="15"/>
      </w:r>
      <w:r w:rsidRPr="002965EC">
        <w:rPr>
          <w:rFonts w:ascii="Arial" w:hAnsi="Arial" w:cs="Arial"/>
          <w:color w:val="000000" w:themeColor="text1"/>
        </w:rPr>
        <w:t>. They also continue to dominate the lower levels of the job market and have low representation in the top echelons of management and decision-making levels, especially in the corporate world.</w:t>
      </w:r>
    </w:p>
    <w:p w14:paraId="6EA1165B" w14:textId="77777777" w:rsidR="00222085" w:rsidRPr="002965EC" w:rsidRDefault="00222085" w:rsidP="00222085">
      <w:pPr>
        <w:rPr>
          <w:rFonts w:ascii="Arial" w:hAnsi="Arial" w:cs="Arial"/>
          <w:b/>
          <w:i/>
        </w:rPr>
      </w:pPr>
      <w:r w:rsidRPr="002965EC">
        <w:rPr>
          <w:rFonts w:ascii="Arial" w:hAnsi="Arial" w:cs="Arial"/>
          <w:b/>
          <w:i/>
        </w:rPr>
        <w:t>Limited Protection of Domestic workers</w:t>
      </w:r>
    </w:p>
    <w:p w14:paraId="34E39739" w14:textId="77777777" w:rsidR="00222085" w:rsidRPr="002965EC" w:rsidRDefault="00222085" w:rsidP="00222085">
      <w:pPr>
        <w:rPr>
          <w:rFonts w:ascii="Arial" w:hAnsi="Arial" w:cs="Arial"/>
          <w:szCs w:val="24"/>
        </w:rPr>
      </w:pPr>
      <w:r w:rsidRPr="002965EC">
        <w:rPr>
          <w:rFonts w:ascii="Arial" w:hAnsi="Arial" w:cs="Arial"/>
          <w:szCs w:val="24"/>
        </w:rPr>
        <w:t>Given the rampant unemployment in the country the reality in 2019 is that more than a million black women are employed in the domestic sector. Although Government has made great progress in improving the working conditions, in theory at least, of domestic workers through legal means, the main challenge remains that of the domestic workers work-space being private work-spaces (employer’s home). Thus, Government has very limited access to enforce implementation of domestic workers’ protections and rights and this remains in large part the arduous task of the trade unions to which domestic workers belong.</w:t>
      </w:r>
    </w:p>
    <w:p w14:paraId="1A2D2A6B" w14:textId="77777777" w:rsidR="00222085" w:rsidRPr="002965EC" w:rsidRDefault="00222085" w:rsidP="00222085">
      <w:pPr>
        <w:rPr>
          <w:rFonts w:ascii="Arial" w:hAnsi="Arial" w:cs="Arial"/>
          <w:b/>
          <w:i/>
          <w:szCs w:val="24"/>
        </w:rPr>
      </w:pPr>
      <w:r w:rsidRPr="002965EC">
        <w:rPr>
          <w:rFonts w:ascii="Arial" w:hAnsi="Arial" w:cs="Arial"/>
          <w:b/>
          <w:i/>
          <w:szCs w:val="24"/>
        </w:rPr>
        <w:t>Continuing Sexual Harassment</w:t>
      </w:r>
    </w:p>
    <w:p w14:paraId="51C11400" w14:textId="77777777" w:rsidR="00222085" w:rsidRPr="002965EC" w:rsidRDefault="00222085" w:rsidP="00222085">
      <w:pPr>
        <w:rPr>
          <w:rFonts w:ascii="Arial" w:hAnsi="Arial" w:cs="Arial"/>
        </w:rPr>
      </w:pPr>
      <w:r w:rsidRPr="002965EC">
        <w:rPr>
          <w:rFonts w:ascii="Arial" w:hAnsi="Arial" w:cs="Arial"/>
        </w:rPr>
        <w:t>Despite policies aimed at reducing sexual harassment in the workforce to date this remains rampant.</w:t>
      </w:r>
    </w:p>
    <w:p w14:paraId="772928A0" w14:textId="77777777" w:rsidR="001E448B" w:rsidRPr="002965EC" w:rsidRDefault="001E448B" w:rsidP="001E448B">
      <w:pPr>
        <w:pStyle w:val="Heading2"/>
        <w:rPr>
          <w:rFonts w:ascii="Arial" w:hAnsi="Arial" w:cs="Arial"/>
        </w:rPr>
      </w:pPr>
      <w:r w:rsidRPr="002965EC">
        <w:rPr>
          <w:rFonts w:ascii="Arial" w:hAnsi="Arial" w:cs="Arial"/>
        </w:rPr>
        <w:t>Education</w:t>
      </w:r>
    </w:p>
    <w:p w14:paraId="01088029" w14:textId="77777777" w:rsidR="001E448B" w:rsidRPr="002965EC" w:rsidRDefault="001E448B" w:rsidP="00222085">
      <w:pPr>
        <w:rPr>
          <w:rFonts w:ascii="Arial" w:hAnsi="Arial" w:cs="Arial"/>
          <w:noProof/>
          <w:spacing w:val="-3"/>
          <w:szCs w:val="24"/>
        </w:rPr>
      </w:pPr>
      <w:r w:rsidRPr="002965EC">
        <w:rPr>
          <w:rFonts w:ascii="Arial" w:hAnsi="Arial" w:cs="Arial"/>
          <w:noProof/>
          <w:spacing w:val="-3"/>
          <w:szCs w:val="24"/>
        </w:rPr>
        <w:t xml:space="preserve">Despite the great strides made in the education sector since 1994, there is endemic gender discrimination, sexual harassment , teenage pregnancies and early dropouts, increasing HIV and AIDs infection rates, and violence (especially rape and sexual offences) expereinced by girls and young women in the educational sphere. </w:t>
      </w:r>
    </w:p>
    <w:p w14:paraId="3E294617" w14:textId="77777777" w:rsidR="006A57FC" w:rsidRPr="002965EC" w:rsidRDefault="006A57FC" w:rsidP="00222085">
      <w:pPr>
        <w:rPr>
          <w:rFonts w:ascii="Arial" w:hAnsi="Arial" w:cs="Arial"/>
          <w:noProof/>
          <w:spacing w:val="-3"/>
          <w:szCs w:val="24"/>
        </w:rPr>
      </w:pPr>
      <w:r w:rsidRPr="002965EC">
        <w:rPr>
          <w:rFonts w:ascii="Arial" w:hAnsi="Arial" w:cs="Arial"/>
          <w:szCs w:val="24"/>
        </w:rPr>
        <w:t xml:space="preserve">Recently Cabinet took a decision to relocate ECDs from the department of social development to the department of education. This move will ensure the </w:t>
      </w:r>
      <w:proofErr w:type="spellStart"/>
      <w:r w:rsidRPr="002965EC">
        <w:rPr>
          <w:rFonts w:ascii="Arial" w:hAnsi="Arial" w:cs="Arial"/>
          <w:szCs w:val="24"/>
        </w:rPr>
        <w:t>standardisation</w:t>
      </w:r>
      <w:proofErr w:type="spellEnd"/>
      <w:r w:rsidRPr="002965EC">
        <w:rPr>
          <w:rFonts w:ascii="Arial" w:hAnsi="Arial" w:cs="Arial"/>
          <w:szCs w:val="24"/>
        </w:rPr>
        <w:t xml:space="preserve"> </w:t>
      </w:r>
      <w:r w:rsidRPr="002965EC">
        <w:rPr>
          <w:rFonts w:ascii="Arial" w:hAnsi="Arial" w:cs="Arial"/>
          <w:szCs w:val="24"/>
        </w:rPr>
        <w:lastRenderedPageBreak/>
        <w:t>of salaries, and curriculum across the board. We also have the integrated school health programme</w:t>
      </w:r>
      <w:r w:rsidR="002F6C9A" w:rsidRPr="002965EC">
        <w:rPr>
          <w:rFonts w:ascii="Arial" w:hAnsi="Arial" w:cs="Arial"/>
          <w:szCs w:val="24"/>
        </w:rPr>
        <w:t>.</w:t>
      </w:r>
    </w:p>
    <w:p w14:paraId="5072A5BD" w14:textId="77777777" w:rsidR="001E448B" w:rsidRPr="002965EC" w:rsidRDefault="001E448B" w:rsidP="001E448B">
      <w:pPr>
        <w:pStyle w:val="Heading2"/>
        <w:rPr>
          <w:rFonts w:ascii="Arial" w:hAnsi="Arial" w:cs="Arial"/>
        </w:rPr>
      </w:pPr>
      <w:bookmarkStart w:id="35" w:name="_Toc2094136"/>
      <w:r w:rsidRPr="002965EC">
        <w:rPr>
          <w:rFonts w:ascii="Arial" w:hAnsi="Arial" w:cs="Arial"/>
        </w:rPr>
        <w:t>Health</w:t>
      </w:r>
      <w:bookmarkEnd w:id="35"/>
    </w:p>
    <w:p w14:paraId="594D309B" w14:textId="77777777" w:rsidR="00222085" w:rsidRPr="002965EC" w:rsidRDefault="00222085" w:rsidP="00222085">
      <w:pPr>
        <w:rPr>
          <w:rFonts w:ascii="Arial" w:hAnsi="Arial" w:cs="Arial"/>
        </w:rPr>
      </w:pPr>
      <w:r w:rsidRPr="002965EC">
        <w:rPr>
          <w:rFonts w:ascii="Arial" w:hAnsi="Arial" w:cs="Arial"/>
        </w:rPr>
        <w:t xml:space="preserve">South Africa still has high rates of HIV and unintended pregnancy, with one in three young women aged 15 -24 years experiencing an unintended pregnancy before age 20. Among females aged 15 to 24, HIV incidence is four times higher than the incidence of males in the same group. The total number of persons living with HIV in South Africa increased from an estimated 4, 25 million in 2002 to 7, 52 million by 2018. In 2018, an estimated 13, 1% of the total population is HIV positive. Approximately one-fifth of South African women in their reproductive ages (15–49 years) are HIV positive. HIV prevalence among the youth aged 15–24 has declined over time from 6, 7% in 2002 to 5, 5% in 2018 (Mid-year Population Estimate 2018, StatsSA). </w:t>
      </w:r>
      <w:r w:rsidR="003538A2" w:rsidRPr="002965EC">
        <w:rPr>
          <w:rFonts w:ascii="Arial" w:hAnsi="Arial" w:cs="Arial"/>
          <w:noProof/>
          <w:spacing w:val="-3"/>
          <w:szCs w:val="24"/>
        </w:rPr>
        <w:t>In addition, there is the issue of the “sugar daddy’ or ‘blessors” syndrome that is part of the life of young women and girls.</w:t>
      </w:r>
    </w:p>
    <w:p w14:paraId="3CCBB07E" w14:textId="467B03CC" w:rsidR="00222085" w:rsidRPr="007950C6" w:rsidRDefault="00222085" w:rsidP="00222085">
      <w:pPr>
        <w:rPr>
          <w:rFonts w:ascii="Arial" w:hAnsi="Arial" w:cs="Arial"/>
          <w:szCs w:val="24"/>
        </w:rPr>
      </w:pPr>
      <w:r w:rsidRPr="002965EC">
        <w:rPr>
          <w:rFonts w:ascii="Arial" w:hAnsi="Arial" w:cs="Arial"/>
        </w:rPr>
        <w:t xml:space="preserve">Despite over a decade of structural reform and genuine commitment to achieving ‘Health for All’, a series of obstacles continues to limit the full implementation of Primary Health Care, including the HIV and AIDS pandemic, health worker shortages and inequities in resource distribution, and a complex and protracted health transition. </w:t>
      </w:r>
      <w:r w:rsidR="003538A2" w:rsidRPr="002965EC">
        <w:rPr>
          <w:rFonts w:ascii="Arial" w:hAnsi="Arial" w:cs="Arial"/>
          <w:szCs w:val="24"/>
        </w:rPr>
        <w:t>The recently promulgated National Health Insurance bill brings hope to the many who cannot afford private medical aid but it also will improve infrastruc</w:t>
      </w:r>
      <w:r w:rsidR="007950C6">
        <w:rPr>
          <w:rFonts w:ascii="Arial" w:hAnsi="Arial" w:cs="Arial"/>
          <w:szCs w:val="24"/>
        </w:rPr>
        <w:t xml:space="preserve">ture in the health facilities. </w:t>
      </w:r>
    </w:p>
    <w:p w14:paraId="6D3EB2CE" w14:textId="77777777" w:rsidR="00222085" w:rsidRPr="002965EC" w:rsidRDefault="00222085" w:rsidP="00222085">
      <w:pPr>
        <w:pStyle w:val="Heading2"/>
        <w:rPr>
          <w:rFonts w:ascii="Arial" w:hAnsi="Arial" w:cs="Arial"/>
        </w:rPr>
      </w:pPr>
      <w:bookmarkStart w:id="36" w:name="_Toc2094135"/>
      <w:r w:rsidRPr="002965EC">
        <w:rPr>
          <w:rFonts w:ascii="Arial" w:hAnsi="Arial" w:cs="Arial"/>
        </w:rPr>
        <w:t>Housing</w:t>
      </w:r>
      <w:bookmarkEnd w:id="36"/>
    </w:p>
    <w:p w14:paraId="195E76C2" w14:textId="77777777" w:rsidR="00222085" w:rsidRPr="002965EC" w:rsidRDefault="00222085" w:rsidP="00222085">
      <w:pPr>
        <w:rPr>
          <w:rFonts w:ascii="Arial" w:hAnsi="Arial" w:cs="Arial"/>
        </w:rPr>
      </w:pPr>
      <w:r w:rsidRPr="002965EC">
        <w:rPr>
          <w:rFonts w:ascii="Arial" w:hAnsi="Arial" w:cs="Arial"/>
        </w:rPr>
        <w:t>Along with further improvements in access to other basic services including adequate water, sanitation, electricity and refuse removal. Despite these gains the country faces significant challenges to provide access to adequate housing to poor and vulnerable persons who live without access to basic services or economic opportunities to escape poverty. (SAHRC Report, 2015:9).</w:t>
      </w:r>
    </w:p>
    <w:p w14:paraId="57FEB5EF" w14:textId="77777777" w:rsidR="00222085" w:rsidRPr="002965EC" w:rsidRDefault="00222085" w:rsidP="00222085">
      <w:pPr>
        <w:pStyle w:val="Heading2"/>
        <w:rPr>
          <w:rFonts w:ascii="Arial" w:hAnsi="Arial" w:cs="Arial"/>
        </w:rPr>
      </w:pPr>
      <w:bookmarkStart w:id="37" w:name="_Toc2094137"/>
      <w:r w:rsidRPr="002965EC">
        <w:rPr>
          <w:rFonts w:ascii="Arial" w:hAnsi="Arial" w:cs="Arial"/>
        </w:rPr>
        <w:t>Monitoring and Reporting</w:t>
      </w:r>
      <w:bookmarkEnd w:id="37"/>
    </w:p>
    <w:p w14:paraId="61967A46" w14:textId="77777777" w:rsidR="00222085" w:rsidRPr="002965EC" w:rsidRDefault="00222085" w:rsidP="00222085">
      <w:pPr>
        <w:rPr>
          <w:rFonts w:ascii="Arial" w:hAnsi="Arial" w:cs="Arial"/>
          <w:b/>
          <w:i/>
          <w:szCs w:val="24"/>
        </w:rPr>
      </w:pPr>
      <w:r w:rsidRPr="002965EC">
        <w:rPr>
          <w:rFonts w:ascii="Arial" w:hAnsi="Arial" w:cs="Arial"/>
          <w:b/>
          <w:i/>
          <w:szCs w:val="24"/>
        </w:rPr>
        <w:t>Lack of sex-disaggregated data and indicators</w:t>
      </w:r>
    </w:p>
    <w:p w14:paraId="64DDB136" w14:textId="77777777" w:rsidR="00222085" w:rsidRPr="002965EC" w:rsidRDefault="00222085" w:rsidP="00222085">
      <w:pPr>
        <w:rPr>
          <w:rFonts w:ascii="Arial" w:hAnsi="Arial" w:cs="Arial"/>
          <w:szCs w:val="24"/>
        </w:rPr>
      </w:pPr>
      <w:r w:rsidRPr="002965EC">
        <w:rPr>
          <w:rFonts w:ascii="Arial" w:hAnsi="Arial" w:cs="Arial"/>
          <w:szCs w:val="24"/>
        </w:rPr>
        <w:t xml:space="preserve">One of the biggest challenges faced in social protection is that data is hardly sex disaggregated and there are no indicators to measure the impact of such programmes. </w:t>
      </w:r>
      <w:r w:rsidR="009A7E08" w:rsidRPr="002965EC">
        <w:rPr>
          <w:rFonts w:ascii="Arial" w:hAnsi="Arial" w:cs="Arial"/>
          <w:szCs w:val="24"/>
        </w:rPr>
        <w:t xml:space="preserve">This is reflected in some of the information presented in this report. </w:t>
      </w:r>
      <w:r w:rsidRPr="002965EC">
        <w:rPr>
          <w:rFonts w:ascii="Arial" w:hAnsi="Arial" w:cs="Arial"/>
          <w:szCs w:val="24"/>
        </w:rPr>
        <w:t>Sex-disaggregated data and gender statistics including targets and indicators of gender equality are needed so as to achieve women empowerment.</w:t>
      </w:r>
      <w:r w:rsidRPr="002965EC">
        <w:rPr>
          <w:rFonts w:ascii="Arial" w:hAnsi="Arial" w:cs="Arial"/>
          <w:b/>
          <w:szCs w:val="24"/>
        </w:rPr>
        <w:t xml:space="preserve"> </w:t>
      </w:r>
      <w:r w:rsidRPr="002965EC">
        <w:rPr>
          <w:rFonts w:ascii="Arial" w:hAnsi="Arial" w:cs="Arial"/>
          <w:szCs w:val="24"/>
        </w:rPr>
        <w:t>An opportunity exi</w:t>
      </w:r>
      <w:r w:rsidR="008639EC" w:rsidRPr="002965EC">
        <w:rPr>
          <w:rFonts w:ascii="Arial" w:hAnsi="Arial" w:cs="Arial"/>
          <w:szCs w:val="24"/>
        </w:rPr>
        <w:t>s</w:t>
      </w:r>
      <w:r w:rsidRPr="002965EC">
        <w:rPr>
          <w:rFonts w:ascii="Arial" w:hAnsi="Arial" w:cs="Arial"/>
          <w:szCs w:val="24"/>
        </w:rPr>
        <w:t xml:space="preserve">ts to include unpaid labour in the GDP through data collection efforts that value women’s unpaid labour within the household. </w:t>
      </w:r>
      <w:r w:rsidR="008639EC" w:rsidRPr="002965EC">
        <w:rPr>
          <w:rFonts w:ascii="Arial" w:hAnsi="Arial" w:cs="Arial"/>
          <w:szCs w:val="24"/>
        </w:rPr>
        <w:t xml:space="preserve"> </w:t>
      </w:r>
    </w:p>
    <w:p w14:paraId="27E44008" w14:textId="77777777" w:rsidR="008639EC" w:rsidRPr="002965EC" w:rsidRDefault="008639EC" w:rsidP="00222085">
      <w:pPr>
        <w:rPr>
          <w:rFonts w:ascii="Arial" w:hAnsi="Arial" w:cs="Arial"/>
          <w:szCs w:val="24"/>
        </w:rPr>
      </w:pPr>
      <w:r w:rsidRPr="002965EC">
        <w:rPr>
          <w:rFonts w:ascii="Arial" w:hAnsi="Arial" w:cs="Arial"/>
          <w:szCs w:val="24"/>
        </w:rPr>
        <w:lastRenderedPageBreak/>
        <w:t xml:space="preserve">The generation of sex disaggregated data is expected to improve through the introduction of the government-wide gender-responsive planning, budgeting, monitoring and evaluation framework and the Country Gender Indicator Framework.  </w:t>
      </w:r>
    </w:p>
    <w:p w14:paraId="7A793D75" w14:textId="77777777" w:rsidR="00BA6BA2" w:rsidRDefault="00BA6BA2" w:rsidP="00222085">
      <w:pPr>
        <w:rPr>
          <w:rFonts w:ascii="Arial" w:hAnsi="Arial" w:cs="Arial"/>
          <w:szCs w:val="24"/>
        </w:rPr>
      </w:pPr>
      <w:r w:rsidRPr="002965EC">
        <w:rPr>
          <w:rFonts w:ascii="Arial" w:hAnsi="Arial" w:cs="Arial"/>
          <w:szCs w:val="24"/>
        </w:rPr>
        <w:t xml:space="preserve">National Integrate Social Protection Information system offers an opportunity take a multi-pronged and coordinated approach to addressing the multiple and compounding vulnerabilities faced by children and their families (UNICEF, 2012).  </w:t>
      </w:r>
    </w:p>
    <w:p w14:paraId="2A1F704B" w14:textId="77777777" w:rsidR="00861029" w:rsidRPr="002965EC" w:rsidRDefault="00861029" w:rsidP="00D57BF9">
      <w:pPr>
        <w:spacing w:after="0" w:line="240" w:lineRule="auto"/>
        <w:rPr>
          <w:rFonts w:ascii="Arial" w:hAnsi="Arial" w:cs="Arial"/>
          <w:b/>
          <w:bCs/>
          <w:szCs w:val="24"/>
        </w:rPr>
      </w:pPr>
    </w:p>
    <w:p w14:paraId="1323C9B6" w14:textId="77777777" w:rsidR="007C3941" w:rsidRPr="002965EC" w:rsidRDefault="00000A44" w:rsidP="00827862">
      <w:pPr>
        <w:pStyle w:val="Heading1"/>
        <w:rPr>
          <w:rFonts w:ascii="Arial" w:hAnsi="Arial" w:cs="Arial"/>
        </w:rPr>
      </w:pPr>
      <w:bookmarkStart w:id="38" w:name="_Toc2094138"/>
      <w:r w:rsidRPr="002965EC">
        <w:rPr>
          <w:rFonts w:ascii="Arial" w:hAnsi="Arial" w:cs="Arial"/>
        </w:rPr>
        <w:t>CONCLUSION</w:t>
      </w:r>
      <w:bookmarkEnd w:id="38"/>
    </w:p>
    <w:p w14:paraId="5EFE0423" w14:textId="77777777" w:rsidR="006F2B6B" w:rsidRPr="002965EC" w:rsidRDefault="006F2B6B" w:rsidP="00827862">
      <w:pPr>
        <w:rPr>
          <w:rFonts w:ascii="Arial" w:hAnsi="Arial" w:cs="Arial"/>
          <w:szCs w:val="24"/>
        </w:rPr>
      </w:pPr>
    </w:p>
    <w:p w14:paraId="51F19552" w14:textId="77777777" w:rsidR="00827862" w:rsidRPr="002965EC" w:rsidRDefault="00827862" w:rsidP="00827862">
      <w:pPr>
        <w:rPr>
          <w:rFonts w:ascii="Arial" w:hAnsi="Arial" w:cs="Arial"/>
        </w:rPr>
      </w:pPr>
      <w:r w:rsidRPr="002965EC">
        <w:rPr>
          <w:rFonts w:ascii="Arial" w:hAnsi="Arial" w:cs="Arial"/>
          <w:szCs w:val="24"/>
        </w:rPr>
        <w:t>South Africa has made great strides in expanding the social safety net since 1994</w:t>
      </w:r>
      <w:r w:rsidR="00112CCC" w:rsidRPr="002965EC">
        <w:rPr>
          <w:rFonts w:ascii="Arial" w:hAnsi="Arial" w:cs="Arial"/>
          <w:szCs w:val="24"/>
        </w:rPr>
        <w:t>,</w:t>
      </w:r>
      <w:r w:rsidRPr="002965EC">
        <w:rPr>
          <w:rFonts w:ascii="Arial" w:hAnsi="Arial" w:cs="Arial"/>
          <w:szCs w:val="24"/>
        </w:rPr>
        <w:t xml:space="preserve"> with millions of South Africans benefiting from the different types of government-funded social grant</w:t>
      </w:r>
      <w:r w:rsidR="004254C0" w:rsidRPr="002965EC">
        <w:rPr>
          <w:rFonts w:ascii="Arial" w:hAnsi="Arial" w:cs="Arial"/>
          <w:szCs w:val="24"/>
        </w:rPr>
        <w:t>s</w:t>
      </w:r>
      <w:r w:rsidRPr="002965EC">
        <w:rPr>
          <w:rFonts w:ascii="Arial" w:hAnsi="Arial" w:cs="Arial"/>
          <w:szCs w:val="24"/>
        </w:rPr>
        <w:t>,</w:t>
      </w:r>
      <w:r w:rsidR="00112CCC" w:rsidRPr="002965EC">
        <w:rPr>
          <w:rFonts w:ascii="Arial" w:hAnsi="Arial" w:cs="Arial"/>
          <w:szCs w:val="24"/>
        </w:rPr>
        <w:t xml:space="preserve"> marked</w:t>
      </w:r>
      <w:r w:rsidRPr="002965EC">
        <w:rPr>
          <w:rFonts w:ascii="Arial" w:hAnsi="Arial" w:cs="Arial"/>
          <w:szCs w:val="24"/>
        </w:rPr>
        <w:t xml:space="preserve"> improvements in maternity and paternity benefits (leave and pay)</w:t>
      </w:r>
      <w:r w:rsidR="00112CCC" w:rsidRPr="002965EC">
        <w:rPr>
          <w:rFonts w:ascii="Arial" w:hAnsi="Arial" w:cs="Arial"/>
          <w:szCs w:val="24"/>
        </w:rPr>
        <w:t xml:space="preserve"> in the country</w:t>
      </w:r>
      <w:r w:rsidRPr="002965EC">
        <w:rPr>
          <w:rFonts w:ascii="Arial" w:hAnsi="Arial" w:cs="Arial"/>
          <w:szCs w:val="24"/>
        </w:rPr>
        <w:t>; greater job security</w:t>
      </w:r>
      <w:r w:rsidR="00112CCC" w:rsidRPr="002965EC">
        <w:rPr>
          <w:rFonts w:ascii="Arial" w:hAnsi="Arial" w:cs="Arial"/>
          <w:szCs w:val="24"/>
        </w:rPr>
        <w:t xml:space="preserve"> for women</w:t>
      </w:r>
      <w:r w:rsidRPr="002965EC">
        <w:rPr>
          <w:rFonts w:ascii="Arial" w:hAnsi="Arial" w:cs="Arial"/>
          <w:szCs w:val="24"/>
        </w:rPr>
        <w:t>; improv</w:t>
      </w:r>
      <w:r w:rsidR="00112CCC" w:rsidRPr="002965EC">
        <w:rPr>
          <w:rFonts w:ascii="Arial" w:hAnsi="Arial" w:cs="Arial"/>
          <w:szCs w:val="24"/>
        </w:rPr>
        <w:t>ements in the</w:t>
      </w:r>
      <w:r w:rsidRPr="002965EC">
        <w:rPr>
          <w:rFonts w:ascii="Arial" w:hAnsi="Arial" w:cs="Arial"/>
          <w:szCs w:val="24"/>
        </w:rPr>
        <w:t xml:space="preserve"> right</w:t>
      </w:r>
      <w:r w:rsidR="00112CCC" w:rsidRPr="002965EC">
        <w:rPr>
          <w:rFonts w:ascii="Arial" w:hAnsi="Arial" w:cs="Arial"/>
          <w:szCs w:val="24"/>
        </w:rPr>
        <w:t>s</w:t>
      </w:r>
      <w:r w:rsidRPr="002965EC">
        <w:rPr>
          <w:rFonts w:ascii="Arial" w:hAnsi="Arial" w:cs="Arial"/>
          <w:szCs w:val="24"/>
        </w:rPr>
        <w:t xml:space="preserve"> to freedom of association and participation in trade unions; the recognition of no dism</w:t>
      </w:r>
      <w:r w:rsidR="004254C0" w:rsidRPr="002965EC">
        <w:rPr>
          <w:rFonts w:ascii="Arial" w:hAnsi="Arial" w:cs="Arial"/>
          <w:szCs w:val="24"/>
        </w:rPr>
        <w:t>iss</w:t>
      </w:r>
      <w:r w:rsidRPr="002965EC">
        <w:rPr>
          <w:rFonts w:ascii="Arial" w:hAnsi="Arial" w:cs="Arial"/>
          <w:szCs w:val="24"/>
        </w:rPr>
        <w:t xml:space="preserve">al on the grounds of pregnancy; disability or HIV/AIDS; and improved access to unemployment insurance, among others. </w:t>
      </w:r>
      <w:r w:rsidR="002D52E5" w:rsidRPr="002965EC">
        <w:rPr>
          <w:rFonts w:ascii="Arial" w:hAnsi="Arial" w:cs="Arial"/>
          <w:szCs w:val="24"/>
        </w:rPr>
        <w:t xml:space="preserve"> </w:t>
      </w:r>
      <w:r w:rsidRPr="002965EC">
        <w:rPr>
          <w:rFonts w:ascii="Arial" w:hAnsi="Arial" w:cs="Arial"/>
        </w:rPr>
        <w:t xml:space="preserve">Social protection systems have been redesigned to reduce gender bias. </w:t>
      </w:r>
    </w:p>
    <w:p w14:paraId="3BFA4621" w14:textId="77777777" w:rsidR="00112CCC" w:rsidRPr="002965EC" w:rsidRDefault="00827862" w:rsidP="00827862">
      <w:pPr>
        <w:rPr>
          <w:rFonts w:ascii="Arial" w:hAnsi="Arial" w:cs="Arial"/>
          <w:szCs w:val="24"/>
        </w:rPr>
      </w:pPr>
      <w:r w:rsidRPr="002965EC">
        <w:rPr>
          <w:rFonts w:ascii="Arial" w:hAnsi="Arial" w:cs="Arial"/>
          <w:szCs w:val="24"/>
        </w:rPr>
        <w:t xml:space="preserve">However, the women </w:t>
      </w:r>
      <w:r w:rsidR="00112CCC" w:rsidRPr="002965EC">
        <w:rPr>
          <w:rFonts w:ascii="Arial" w:hAnsi="Arial" w:cs="Arial"/>
          <w:szCs w:val="24"/>
        </w:rPr>
        <w:t>in the country remain the</w:t>
      </w:r>
      <w:r w:rsidRPr="002965EC">
        <w:rPr>
          <w:rFonts w:ascii="Arial" w:hAnsi="Arial" w:cs="Arial"/>
          <w:szCs w:val="24"/>
        </w:rPr>
        <w:t xml:space="preserve"> worst affected by poverty </w:t>
      </w:r>
      <w:r w:rsidR="00112CCC" w:rsidRPr="002965EC">
        <w:rPr>
          <w:rFonts w:ascii="Arial" w:hAnsi="Arial" w:cs="Arial"/>
          <w:szCs w:val="24"/>
        </w:rPr>
        <w:t xml:space="preserve">and continue to be </w:t>
      </w:r>
      <w:r w:rsidRPr="002965EC">
        <w:rPr>
          <w:rFonts w:ascii="Arial" w:hAnsi="Arial" w:cs="Arial"/>
          <w:szCs w:val="24"/>
        </w:rPr>
        <w:t xml:space="preserve">the face of </w:t>
      </w:r>
      <w:r w:rsidR="002D52E5" w:rsidRPr="002965EC">
        <w:rPr>
          <w:rFonts w:ascii="Arial" w:hAnsi="Arial" w:cs="Arial"/>
          <w:szCs w:val="24"/>
        </w:rPr>
        <w:t xml:space="preserve">disparities in </w:t>
      </w:r>
      <w:r w:rsidRPr="002965EC">
        <w:rPr>
          <w:rFonts w:ascii="Arial" w:hAnsi="Arial" w:cs="Arial"/>
          <w:szCs w:val="24"/>
        </w:rPr>
        <w:t>income, labour</w:t>
      </w:r>
      <w:r w:rsidR="00112CCC" w:rsidRPr="002965EC">
        <w:rPr>
          <w:rFonts w:ascii="Arial" w:hAnsi="Arial" w:cs="Arial"/>
          <w:szCs w:val="24"/>
        </w:rPr>
        <w:t xml:space="preserve">, education, health and services </w:t>
      </w:r>
      <w:r w:rsidRPr="002965EC">
        <w:rPr>
          <w:rFonts w:ascii="Arial" w:hAnsi="Arial" w:cs="Arial"/>
          <w:szCs w:val="24"/>
        </w:rPr>
        <w:t>in the country.</w:t>
      </w:r>
      <w:r w:rsidR="00112CCC" w:rsidRPr="002965EC">
        <w:rPr>
          <w:rFonts w:ascii="Arial" w:hAnsi="Arial" w:cs="Arial"/>
          <w:szCs w:val="24"/>
        </w:rPr>
        <w:t xml:space="preserve">  Women and girls remain the worst affected by </w:t>
      </w:r>
      <w:r w:rsidR="002D52E5" w:rsidRPr="002965EC">
        <w:rPr>
          <w:rFonts w:ascii="Arial" w:hAnsi="Arial" w:cs="Arial"/>
          <w:szCs w:val="24"/>
        </w:rPr>
        <w:t xml:space="preserve">uneven </w:t>
      </w:r>
      <w:r w:rsidR="00112CCC" w:rsidRPr="002965EC">
        <w:rPr>
          <w:rFonts w:ascii="Arial" w:hAnsi="Arial" w:cs="Arial"/>
          <w:szCs w:val="24"/>
        </w:rPr>
        <w:t>access to social protection services and i</w:t>
      </w:r>
      <w:r w:rsidR="002D52E5" w:rsidRPr="002965EC">
        <w:rPr>
          <w:rFonts w:ascii="Arial" w:hAnsi="Arial" w:cs="Arial"/>
          <w:szCs w:val="24"/>
        </w:rPr>
        <w:t>nfrastructure (including water and</w:t>
      </w:r>
      <w:r w:rsidR="00112CCC" w:rsidRPr="002965EC">
        <w:rPr>
          <w:rFonts w:ascii="Arial" w:hAnsi="Arial" w:cs="Arial"/>
          <w:szCs w:val="24"/>
        </w:rPr>
        <w:t xml:space="preserve"> sanitation, energy, transport, ICT, health, education) and spatial marginalization.  There is still much work to be done.</w:t>
      </w:r>
    </w:p>
    <w:p w14:paraId="0B612394" w14:textId="77777777" w:rsidR="00827862" w:rsidRPr="002965EC" w:rsidRDefault="00112CCC" w:rsidP="00827862">
      <w:pPr>
        <w:rPr>
          <w:rFonts w:ascii="Arial" w:hAnsi="Arial" w:cs="Arial"/>
          <w:szCs w:val="24"/>
        </w:rPr>
      </w:pPr>
      <w:r w:rsidRPr="002965EC">
        <w:rPr>
          <w:rFonts w:ascii="Arial" w:hAnsi="Arial" w:cs="Arial"/>
          <w:szCs w:val="24"/>
        </w:rPr>
        <w:t xml:space="preserve">The government and the country as a whole remain </w:t>
      </w:r>
      <w:r w:rsidR="00435C21" w:rsidRPr="002965EC">
        <w:rPr>
          <w:rFonts w:ascii="Arial" w:hAnsi="Arial" w:cs="Arial"/>
          <w:szCs w:val="24"/>
        </w:rPr>
        <w:t>committed</w:t>
      </w:r>
      <w:r w:rsidRPr="002965EC">
        <w:rPr>
          <w:rFonts w:ascii="Arial" w:hAnsi="Arial" w:cs="Arial"/>
          <w:szCs w:val="24"/>
        </w:rPr>
        <w:t xml:space="preserve"> to addressing gender </w:t>
      </w:r>
      <w:r w:rsidR="00435C21" w:rsidRPr="002965EC">
        <w:rPr>
          <w:rFonts w:ascii="Arial" w:hAnsi="Arial" w:cs="Arial"/>
          <w:szCs w:val="24"/>
        </w:rPr>
        <w:t>inequity</w:t>
      </w:r>
      <w:r w:rsidRPr="002965EC">
        <w:rPr>
          <w:rFonts w:ascii="Arial" w:hAnsi="Arial" w:cs="Arial"/>
          <w:szCs w:val="24"/>
        </w:rPr>
        <w:t xml:space="preserve"> and inequality in the country and </w:t>
      </w:r>
      <w:r w:rsidR="00B92A26" w:rsidRPr="002965EC">
        <w:rPr>
          <w:rFonts w:ascii="Arial" w:hAnsi="Arial" w:cs="Arial"/>
          <w:szCs w:val="24"/>
        </w:rPr>
        <w:t>continue</w:t>
      </w:r>
      <w:r w:rsidRPr="002965EC">
        <w:rPr>
          <w:rFonts w:ascii="Arial" w:hAnsi="Arial" w:cs="Arial"/>
          <w:szCs w:val="24"/>
        </w:rPr>
        <w:t xml:space="preserve"> to introduce </w:t>
      </w:r>
      <w:proofErr w:type="spellStart"/>
      <w:r w:rsidRPr="002965EC">
        <w:rPr>
          <w:rFonts w:ascii="Arial" w:hAnsi="Arial" w:cs="Arial"/>
          <w:szCs w:val="24"/>
        </w:rPr>
        <w:t>progammes</w:t>
      </w:r>
      <w:proofErr w:type="spellEnd"/>
      <w:r w:rsidRPr="002965EC">
        <w:rPr>
          <w:rFonts w:ascii="Arial" w:hAnsi="Arial" w:cs="Arial"/>
          <w:szCs w:val="24"/>
        </w:rPr>
        <w:t xml:space="preserve"> and actions to address these.  Of note are the recent developments in the provisions of free sanitation products to indigents school girls, the provision of free higher education to poor students in the country and the except of sanitary pad from Vat which will benefit all women and girls in the country.  A basket of free basic services and social grants which is a crucial social protection and safety net for many women and girls in the country is a continued commitment of the country.</w:t>
      </w:r>
    </w:p>
    <w:p w14:paraId="289E9219" w14:textId="77777777" w:rsidR="00827862" w:rsidRPr="002965EC" w:rsidRDefault="00827862" w:rsidP="00827862">
      <w:pPr>
        <w:rPr>
          <w:rFonts w:ascii="Arial" w:hAnsi="Arial" w:cs="Arial"/>
        </w:rPr>
      </w:pPr>
    </w:p>
    <w:p w14:paraId="66579ECC" w14:textId="77777777" w:rsidR="007C3941" w:rsidRPr="002965EC" w:rsidRDefault="007C3941" w:rsidP="008639EC">
      <w:pPr>
        <w:pStyle w:val="Heading1"/>
        <w:numPr>
          <w:ilvl w:val="0"/>
          <w:numId w:val="0"/>
        </w:numPr>
        <w:rPr>
          <w:rFonts w:ascii="Arial" w:hAnsi="Arial" w:cs="Arial"/>
        </w:rPr>
      </w:pPr>
    </w:p>
    <w:sectPr w:rsidR="007C3941" w:rsidRPr="002965EC" w:rsidSect="00B44DE9">
      <w:footerReference w:type="default" r:id="rId38"/>
      <w:pgSz w:w="12240" w:h="15840"/>
      <w:pgMar w:top="1440" w:right="1440" w:bottom="1440" w:left="1440" w:header="706" w:footer="706" w:gutter="0"/>
      <w:pgBorders w:offsetFrom="page">
        <w:top w:val="triple" w:sz="4" w:space="24" w:color="92D050"/>
        <w:left w:val="triple" w:sz="4" w:space="24" w:color="92D050"/>
        <w:bottom w:val="triple" w:sz="4" w:space="24" w:color="92D050"/>
        <w:right w:val="triple" w:sz="4" w:space="24" w:color="92D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B1B873" w14:textId="77777777" w:rsidR="00A712DE" w:rsidRDefault="00A712DE" w:rsidP="00B3593F">
      <w:pPr>
        <w:spacing w:after="0" w:line="240" w:lineRule="auto"/>
      </w:pPr>
      <w:r>
        <w:separator/>
      </w:r>
    </w:p>
  </w:endnote>
  <w:endnote w:type="continuationSeparator" w:id="0">
    <w:p w14:paraId="456F9C27" w14:textId="77777777" w:rsidR="00A712DE" w:rsidRDefault="00A712DE" w:rsidP="00B35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829043"/>
      <w:docPartObj>
        <w:docPartGallery w:val="Page Numbers (Bottom of Page)"/>
        <w:docPartUnique/>
      </w:docPartObj>
    </w:sdtPr>
    <w:sdtEndPr>
      <w:rPr>
        <w:noProof/>
      </w:rPr>
    </w:sdtEndPr>
    <w:sdtContent>
      <w:p w14:paraId="04097AFA" w14:textId="77777777" w:rsidR="00D430A7" w:rsidRDefault="00D430A7">
        <w:pPr>
          <w:pStyle w:val="Footer"/>
          <w:jc w:val="right"/>
        </w:pPr>
        <w:r>
          <w:fldChar w:fldCharType="begin"/>
        </w:r>
        <w:r>
          <w:instrText xml:space="preserve"> PAGE   \* MERGEFORMAT </w:instrText>
        </w:r>
        <w:r>
          <w:fldChar w:fldCharType="separate"/>
        </w:r>
        <w:r w:rsidR="007950C6">
          <w:rPr>
            <w:noProof/>
          </w:rPr>
          <w:t>1</w:t>
        </w:r>
        <w:r>
          <w:rPr>
            <w:noProof/>
          </w:rPr>
          <w:fldChar w:fldCharType="end"/>
        </w:r>
      </w:p>
    </w:sdtContent>
  </w:sdt>
  <w:p w14:paraId="7ABF794C" w14:textId="77777777" w:rsidR="00D430A7" w:rsidRDefault="00D430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5388"/>
      <w:docPartObj>
        <w:docPartGallery w:val="Page Numbers (Bottom of Page)"/>
        <w:docPartUnique/>
      </w:docPartObj>
    </w:sdtPr>
    <w:sdtContent>
      <w:p w14:paraId="12A4B512" w14:textId="77777777" w:rsidR="00D430A7" w:rsidRDefault="00D430A7">
        <w:pPr>
          <w:pStyle w:val="Footer"/>
          <w:jc w:val="center"/>
        </w:pPr>
        <w:r>
          <w:fldChar w:fldCharType="begin"/>
        </w:r>
        <w:r>
          <w:instrText xml:space="preserve"> PAGE   \* MERGEFORMAT </w:instrText>
        </w:r>
        <w:r>
          <w:fldChar w:fldCharType="separate"/>
        </w:r>
        <w:r w:rsidR="007950C6">
          <w:rPr>
            <w:noProof/>
          </w:rPr>
          <w:t>34</w:t>
        </w:r>
        <w:r>
          <w:rPr>
            <w:noProof/>
          </w:rPr>
          <w:fldChar w:fldCharType="end"/>
        </w:r>
      </w:p>
    </w:sdtContent>
  </w:sdt>
  <w:p w14:paraId="53C340B7" w14:textId="77777777" w:rsidR="00D430A7" w:rsidRDefault="00D430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3D70E8" w14:textId="77777777" w:rsidR="00A712DE" w:rsidRDefault="00A712DE" w:rsidP="00B3593F">
      <w:pPr>
        <w:spacing w:after="0" w:line="240" w:lineRule="auto"/>
      </w:pPr>
      <w:r>
        <w:separator/>
      </w:r>
    </w:p>
  </w:footnote>
  <w:footnote w:type="continuationSeparator" w:id="0">
    <w:p w14:paraId="1C6A9736" w14:textId="77777777" w:rsidR="00A712DE" w:rsidRDefault="00A712DE" w:rsidP="00B3593F">
      <w:pPr>
        <w:spacing w:after="0" w:line="240" w:lineRule="auto"/>
      </w:pPr>
      <w:r>
        <w:continuationSeparator/>
      </w:r>
    </w:p>
  </w:footnote>
  <w:footnote w:id="1">
    <w:p w14:paraId="4A73F085" w14:textId="77777777" w:rsidR="00D430A7" w:rsidRPr="0007422A" w:rsidRDefault="00D430A7" w:rsidP="004A4979">
      <w:pPr>
        <w:pStyle w:val="FootnoteText"/>
        <w:rPr>
          <w:rFonts w:ascii="Arial Narrow" w:hAnsi="Arial Narrow"/>
          <w:sz w:val="16"/>
          <w:szCs w:val="16"/>
        </w:rPr>
      </w:pPr>
      <w:r w:rsidRPr="0007422A">
        <w:rPr>
          <w:rStyle w:val="FootnoteReference"/>
          <w:rFonts w:ascii="Arial Narrow" w:hAnsi="Arial Narrow"/>
          <w:sz w:val="16"/>
          <w:szCs w:val="16"/>
        </w:rPr>
        <w:footnoteRef/>
      </w:r>
      <w:r w:rsidRPr="0007422A">
        <w:rPr>
          <w:rFonts w:ascii="Arial Narrow" w:hAnsi="Arial Narrow"/>
          <w:sz w:val="16"/>
          <w:szCs w:val="16"/>
        </w:rPr>
        <w:t xml:space="preserve"> Ibid</w:t>
      </w:r>
    </w:p>
  </w:footnote>
  <w:footnote w:id="2">
    <w:p w14:paraId="5CDEF42F" w14:textId="77777777" w:rsidR="00D430A7" w:rsidRPr="00141781" w:rsidRDefault="00D430A7" w:rsidP="006308AD">
      <w:pPr>
        <w:pStyle w:val="FootnoteText"/>
        <w:rPr>
          <w:rFonts w:cstheme="minorHAnsi"/>
        </w:rPr>
      </w:pPr>
      <w:r w:rsidRPr="00141781">
        <w:rPr>
          <w:rStyle w:val="FootnoteReference"/>
          <w:rFonts w:cstheme="minorHAnsi"/>
        </w:rPr>
        <w:footnoteRef/>
      </w:r>
      <w:r w:rsidRPr="00141781">
        <w:rPr>
          <w:rFonts w:cstheme="minorHAnsi"/>
        </w:rPr>
        <w:t xml:space="preserve"> Department of Labour: </w:t>
      </w:r>
      <w:hyperlink r:id="rId1" w:history="1">
        <w:r w:rsidRPr="00141781">
          <w:rPr>
            <w:rStyle w:val="Hyperlink"/>
            <w:rFonts w:cstheme="minorHAnsi"/>
          </w:rPr>
          <w:t>www.gov.za</w:t>
        </w:r>
      </w:hyperlink>
      <w:r w:rsidRPr="00141781">
        <w:rPr>
          <w:rFonts w:cstheme="minorHAnsi"/>
        </w:rPr>
        <w:t xml:space="preserve"> </w:t>
      </w:r>
    </w:p>
  </w:footnote>
  <w:footnote w:id="3">
    <w:p w14:paraId="704A8F0E" w14:textId="77777777" w:rsidR="00D430A7" w:rsidRPr="004A4979" w:rsidRDefault="00D430A7" w:rsidP="006308AD">
      <w:pPr>
        <w:pStyle w:val="FootnoteText"/>
        <w:rPr>
          <w:rFonts w:ascii="Arial Narrow" w:hAnsi="Arial Narrow" w:cstheme="minorHAnsi"/>
          <w:sz w:val="16"/>
          <w:szCs w:val="16"/>
        </w:rPr>
      </w:pPr>
      <w:r w:rsidRPr="004A4979">
        <w:rPr>
          <w:rStyle w:val="FootnoteReference"/>
          <w:rFonts w:ascii="Arial Narrow" w:hAnsi="Arial Narrow" w:cstheme="minorHAnsi"/>
          <w:sz w:val="16"/>
          <w:szCs w:val="16"/>
        </w:rPr>
        <w:footnoteRef/>
      </w:r>
      <w:r w:rsidRPr="004A4979">
        <w:rPr>
          <w:rFonts w:ascii="Arial Narrow" w:hAnsi="Arial Narrow" w:cstheme="minorHAnsi"/>
          <w:sz w:val="16"/>
          <w:szCs w:val="16"/>
        </w:rPr>
        <w:t xml:space="preserve"> As extracted from </w:t>
      </w:r>
      <w:hyperlink r:id="rId2" w:history="1">
        <w:r w:rsidRPr="004A4979">
          <w:rPr>
            <w:rStyle w:val="Hyperlink"/>
            <w:rFonts w:ascii="Arial Narrow" w:hAnsi="Arial Narrow" w:cstheme="minorHAnsi"/>
            <w:sz w:val="16"/>
            <w:szCs w:val="16"/>
          </w:rPr>
          <w:t>http://www.polity.org.za</w:t>
        </w:r>
      </w:hyperlink>
      <w:r w:rsidRPr="004A4979">
        <w:rPr>
          <w:rFonts w:ascii="Arial Narrow" w:hAnsi="Arial Narrow" w:cstheme="minorHAnsi"/>
          <w:sz w:val="16"/>
          <w:szCs w:val="16"/>
        </w:rPr>
        <w:t xml:space="preserve"> on 21/01/2019 @ 14:39</w:t>
      </w:r>
    </w:p>
  </w:footnote>
  <w:footnote w:id="4">
    <w:p w14:paraId="775F0012" w14:textId="77777777" w:rsidR="00D430A7" w:rsidRPr="004A4979" w:rsidRDefault="00D430A7" w:rsidP="006308AD">
      <w:pPr>
        <w:pStyle w:val="FootnoteText"/>
        <w:rPr>
          <w:rFonts w:ascii="Arial Narrow" w:hAnsi="Arial Narrow" w:cstheme="minorHAnsi"/>
          <w:sz w:val="16"/>
          <w:szCs w:val="16"/>
        </w:rPr>
      </w:pPr>
      <w:r w:rsidRPr="004A4979">
        <w:rPr>
          <w:rStyle w:val="FootnoteReference"/>
          <w:rFonts w:ascii="Arial Narrow" w:hAnsi="Arial Narrow" w:cstheme="minorHAnsi"/>
          <w:sz w:val="16"/>
          <w:szCs w:val="16"/>
        </w:rPr>
        <w:footnoteRef/>
      </w:r>
      <w:r w:rsidRPr="004A4979">
        <w:rPr>
          <w:rFonts w:ascii="Arial Narrow" w:hAnsi="Arial Narrow" w:cstheme="minorHAnsi"/>
          <w:sz w:val="16"/>
          <w:szCs w:val="16"/>
        </w:rPr>
        <w:t xml:space="preserve"> Section 27 of the BCEA</w:t>
      </w:r>
    </w:p>
  </w:footnote>
  <w:footnote w:id="5">
    <w:p w14:paraId="1292B9A3" w14:textId="77777777" w:rsidR="00D430A7" w:rsidRPr="00F61FAB" w:rsidRDefault="00D430A7" w:rsidP="0057714B">
      <w:pPr>
        <w:spacing w:after="0" w:line="240" w:lineRule="auto"/>
        <w:rPr>
          <w:rFonts w:cstheme="minorHAnsi"/>
          <w:sz w:val="20"/>
          <w:szCs w:val="20"/>
        </w:rPr>
      </w:pPr>
      <w:r w:rsidRPr="00F61FAB">
        <w:rPr>
          <w:rStyle w:val="FootnoteReference"/>
          <w:rFonts w:cstheme="minorHAnsi"/>
          <w:sz w:val="20"/>
          <w:szCs w:val="20"/>
        </w:rPr>
        <w:footnoteRef/>
      </w:r>
      <w:r w:rsidRPr="00F61FAB">
        <w:rPr>
          <w:rFonts w:cstheme="minorHAnsi"/>
          <w:sz w:val="20"/>
          <w:szCs w:val="20"/>
        </w:rPr>
        <w:t xml:space="preserve"> </w:t>
      </w:r>
      <w:r w:rsidRPr="00F61FAB">
        <w:rPr>
          <w:rFonts w:cstheme="minorHAnsi"/>
          <w:bCs/>
          <w:spacing w:val="-8"/>
          <w:kern w:val="36"/>
          <w:sz w:val="20"/>
          <w:szCs w:val="20"/>
        </w:rPr>
        <w:t xml:space="preserve">The Development Facilitation Act, No. 67 of 1995 was enacted </w:t>
      </w:r>
      <w:r w:rsidRPr="00F61FAB">
        <w:rPr>
          <w:rFonts w:cstheme="minorHAnsi"/>
          <w:sz w:val="20"/>
          <w:szCs w:val="20"/>
        </w:rPr>
        <w:t>t</w:t>
      </w:r>
      <w:r w:rsidRPr="00F61FAB">
        <w:rPr>
          <w:rFonts w:cstheme="minorHAnsi"/>
          <w:spacing w:val="-3"/>
          <w:sz w:val="20"/>
          <w:szCs w:val="20"/>
        </w:rPr>
        <w:t xml:space="preserve">o introduce extraordinary measures to facilitate and speed up the implementation of reconstruction and development programmes and </w:t>
      </w:r>
      <w:hyperlink r:id="rId3" w:history="1">
        <w:r w:rsidRPr="00F61FAB">
          <w:rPr>
            <w:rStyle w:val="Hyperlink"/>
            <w:rFonts w:cstheme="minorHAnsi"/>
            <w:color w:val="auto"/>
            <w:spacing w:val="-3"/>
            <w:sz w:val="20"/>
            <w:szCs w:val="20"/>
          </w:rPr>
          <w:t>projects</w:t>
        </w:r>
      </w:hyperlink>
      <w:r w:rsidRPr="00F61FAB">
        <w:rPr>
          <w:rFonts w:cstheme="minorHAnsi"/>
          <w:spacing w:val="-3"/>
          <w:sz w:val="20"/>
          <w:szCs w:val="20"/>
        </w:rPr>
        <w:t xml:space="preserve"> in relation to land; and in so doing to lay down general principles governing land development throughout the Republic; to provide for the establishment of a Development and Planning Commission for the purpose of advising the government on policy and laws concerning land development at national and provincial levels; to provide for the establishment in the provinces of development tribunals which have the </w:t>
      </w:r>
      <w:hyperlink r:id="rId4" w:history="1">
        <w:r w:rsidRPr="00F61FAB">
          <w:rPr>
            <w:rStyle w:val="Hyperlink"/>
            <w:rFonts w:cstheme="minorHAnsi"/>
            <w:color w:val="auto"/>
            <w:spacing w:val="-3"/>
            <w:sz w:val="20"/>
            <w:szCs w:val="20"/>
          </w:rPr>
          <w:t>power</w:t>
        </w:r>
      </w:hyperlink>
      <w:r w:rsidRPr="00F61FAB">
        <w:rPr>
          <w:rFonts w:cstheme="minorHAnsi"/>
          <w:spacing w:val="-3"/>
          <w:sz w:val="20"/>
          <w:szCs w:val="20"/>
        </w:rPr>
        <w:t xml:space="preserve"> to make decisions and resolve conflicts in respect of land development </w:t>
      </w:r>
      <w:hyperlink r:id="rId5" w:history="1">
        <w:r w:rsidRPr="00F61FAB">
          <w:rPr>
            <w:rStyle w:val="Hyperlink"/>
            <w:rFonts w:cstheme="minorHAnsi"/>
            <w:color w:val="auto"/>
            <w:spacing w:val="-3"/>
            <w:sz w:val="20"/>
            <w:szCs w:val="20"/>
          </w:rPr>
          <w:t>projects</w:t>
        </w:r>
      </w:hyperlink>
      <w:r w:rsidRPr="00F61FAB">
        <w:rPr>
          <w:rFonts w:cstheme="minorHAnsi"/>
          <w:spacing w:val="-3"/>
          <w:sz w:val="20"/>
          <w:szCs w:val="20"/>
        </w:rPr>
        <w:t xml:space="preserve">; to facilitate the formulation and implementation of land development objectives by reference to which the performance of local government bodies in achieving such objectives may be measured; to provide for nationally uniform procedures for the subdivision and development of land in urban and rural areas so as to promote the speedy </w:t>
      </w:r>
      <w:r w:rsidRPr="00F61FAB">
        <w:rPr>
          <w:rFonts w:cstheme="minorHAnsi"/>
          <w:sz w:val="20"/>
          <w:szCs w:val="20"/>
        </w:rPr>
        <w:t xml:space="preserve">provision and </w:t>
      </w:r>
      <w:r w:rsidRPr="00F61FAB">
        <w:rPr>
          <w:rFonts w:cstheme="minorHAnsi"/>
          <w:bCs/>
          <w:sz w:val="20"/>
          <w:szCs w:val="20"/>
        </w:rPr>
        <w:t>development</w:t>
      </w:r>
      <w:r w:rsidRPr="00F61FAB">
        <w:rPr>
          <w:rFonts w:cstheme="minorHAnsi"/>
          <w:sz w:val="20"/>
          <w:szCs w:val="20"/>
        </w:rPr>
        <w:t xml:space="preserve"> of land for residential, small-scale farming or other needs and uses; to promote security of tenure while ensuring that end-user finance in the form of subsidies and loans becomes available as early as possible during the land </w:t>
      </w:r>
      <w:r w:rsidRPr="00F61FAB">
        <w:rPr>
          <w:rFonts w:cstheme="minorHAnsi"/>
          <w:bCs/>
          <w:sz w:val="20"/>
          <w:szCs w:val="20"/>
        </w:rPr>
        <w:t>development</w:t>
      </w:r>
      <w:r w:rsidRPr="00F61FAB">
        <w:rPr>
          <w:rFonts w:cstheme="minorHAnsi"/>
          <w:sz w:val="20"/>
          <w:szCs w:val="20"/>
        </w:rPr>
        <w:t xml:space="preserve"> process; and to provide for matters connected therewith.</w:t>
      </w:r>
    </w:p>
    <w:p w14:paraId="21E868E0" w14:textId="77777777" w:rsidR="00D430A7" w:rsidRPr="0075753A" w:rsidRDefault="00D430A7" w:rsidP="0057714B">
      <w:pPr>
        <w:pStyle w:val="FootnoteText"/>
      </w:pPr>
    </w:p>
  </w:footnote>
  <w:footnote w:id="6">
    <w:p w14:paraId="6C0C17DD" w14:textId="77777777" w:rsidR="00D430A7" w:rsidRPr="0094751B" w:rsidRDefault="00D430A7" w:rsidP="007D723C">
      <w:pPr>
        <w:pStyle w:val="FootnoteText"/>
      </w:pPr>
      <w:r>
        <w:rPr>
          <w:rStyle w:val="FootnoteReference"/>
        </w:rPr>
        <w:footnoteRef/>
      </w:r>
      <w:r>
        <w:t xml:space="preserve"> </w:t>
      </w:r>
      <w:proofErr w:type="spellStart"/>
      <w:r>
        <w:t>Dubihlela</w:t>
      </w:r>
      <w:proofErr w:type="spellEnd"/>
      <w:r>
        <w:t xml:space="preserve">, J. and </w:t>
      </w:r>
      <w:proofErr w:type="spellStart"/>
      <w:r>
        <w:t>Dubihlela</w:t>
      </w:r>
      <w:proofErr w:type="spellEnd"/>
      <w:r>
        <w:t>, D. 2014. Social Grants Impact on Poverty among the Female-Headed Households in South Africa: A Case Analysis.</w:t>
      </w:r>
    </w:p>
  </w:footnote>
  <w:footnote w:id="7">
    <w:p w14:paraId="26FC65DC" w14:textId="77777777" w:rsidR="00D430A7" w:rsidRPr="008F6C96" w:rsidRDefault="00D430A7" w:rsidP="00C753DC">
      <w:pPr>
        <w:pStyle w:val="FootnoteText"/>
        <w:rPr>
          <w:lang w:val="en-GB"/>
        </w:rPr>
      </w:pPr>
      <w:r>
        <w:rPr>
          <w:rStyle w:val="FootnoteReference"/>
        </w:rPr>
        <w:footnoteRef/>
      </w:r>
      <w:r>
        <w:t xml:space="preserve"> Rogan, M. and Skinner, C. 2017. The nature of the South African informal sector as reflected in the quarterly labour-force survey, 2008-2014</w:t>
      </w:r>
    </w:p>
  </w:footnote>
  <w:footnote w:id="8">
    <w:p w14:paraId="3BDC640A" w14:textId="77777777" w:rsidR="00D430A7" w:rsidRPr="008F6C96" w:rsidRDefault="00D430A7" w:rsidP="00C753DC">
      <w:pPr>
        <w:pStyle w:val="FootnoteText"/>
        <w:rPr>
          <w:lang w:val="en-GB"/>
        </w:rPr>
      </w:pPr>
      <w:r>
        <w:rPr>
          <w:rStyle w:val="FootnoteReference"/>
        </w:rPr>
        <w:footnoteRef/>
      </w:r>
      <w:r>
        <w:t xml:space="preserve"> </w:t>
      </w:r>
      <w:r>
        <w:rPr>
          <w:lang w:val="en-GB"/>
        </w:rPr>
        <w:t>Ibid.</w:t>
      </w:r>
    </w:p>
  </w:footnote>
  <w:footnote w:id="9">
    <w:p w14:paraId="10F6B98A" w14:textId="77777777" w:rsidR="00D430A7" w:rsidRDefault="00D430A7" w:rsidP="00B44DE9">
      <w:pPr>
        <w:autoSpaceDE w:val="0"/>
        <w:autoSpaceDN w:val="0"/>
        <w:adjustRightInd w:val="0"/>
        <w:spacing w:after="0" w:line="240" w:lineRule="auto"/>
        <w:rPr>
          <w:rFonts w:ascii="Calibri" w:hAnsi="Calibri" w:cs="Calibri"/>
          <w:sz w:val="18"/>
          <w:szCs w:val="18"/>
        </w:rPr>
      </w:pPr>
      <w:r>
        <w:rPr>
          <w:rStyle w:val="FootnoteReference"/>
        </w:rPr>
        <w:footnoteRef/>
      </w:r>
      <w:r>
        <w:t xml:space="preserve"> </w:t>
      </w:r>
      <w:r>
        <w:rPr>
          <w:rFonts w:ascii="Calibri" w:hAnsi="Calibri" w:cs="Calibri"/>
          <w:sz w:val="18"/>
          <w:szCs w:val="18"/>
        </w:rPr>
        <w:t xml:space="preserve">Dorrington RE, Bradshaw D, </w:t>
      </w:r>
      <w:proofErr w:type="spellStart"/>
      <w:r>
        <w:rPr>
          <w:rFonts w:ascii="Calibri" w:hAnsi="Calibri" w:cs="Calibri"/>
          <w:sz w:val="18"/>
          <w:szCs w:val="18"/>
        </w:rPr>
        <w:t>Laubscher</w:t>
      </w:r>
      <w:proofErr w:type="spellEnd"/>
      <w:r>
        <w:rPr>
          <w:rFonts w:ascii="Calibri" w:hAnsi="Calibri" w:cs="Calibri"/>
          <w:sz w:val="18"/>
          <w:szCs w:val="18"/>
        </w:rPr>
        <w:t xml:space="preserve"> R, </w:t>
      </w:r>
      <w:proofErr w:type="spellStart"/>
      <w:r>
        <w:rPr>
          <w:rFonts w:ascii="Calibri" w:hAnsi="Calibri" w:cs="Calibri"/>
          <w:sz w:val="18"/>
          <w:szCs w:val="18"/>
        </w:rPr>
        <w:t>Nannan</w:t>
      </w:r>
      <w:proofErr w:type="spellEnd"/>
      <w:r>
        <w:rPr>
          <w:rFonts w:ascii="Calibri" w:hAnsi="Calibri" w:cs="Calibri"/>
          <w:sz w:val="18"/>
          <w:szCs w:val="18"/>
        </w:rPr>
        <w:t xml:space="preserve"> N (2018). Rapid mortality surveillance report 2016. Cape Town: South</w:t>
      </w:r>
    </w:p>
    <w:p w14:paraId="643897CE" w14:textId="77777777" w:rsidR="00D430A7" w:rsidRDefault="00D430A7" w:rsidP="00B44DE9">
      <w:pPr>
        <w:pStyle w:val="FootnoteText"/>
      </w:pPr>
      <w:r>
        <w:rPr>
          <w:rFonts w:eastAsiaTheme="minorHAnsi" w:cs="Calibri"/>
          <w:sz w:val="18"/>
          <w:szCs w:val="18"/>
        </w:rPr>
        <w:t>African Medical Research Council. ISBN: 978-1-928340-30-0.</w:t>
      </w:r>
      <w:r w:rsidRPr="004C6337">
        <w:t xml:space="preserve"> </w:t>
      </w:r>
      <w:r w:rsidRPr="004C6337">
        <w:rPr>
          <w:rFonts w:eastAsiaTheme="minorHAnsi" w:cs="Calibri"/>
          <w:sz w:val="18"/>
          <w:szCs w:val="18"/>
        </w:rPr>
        <w:t>http://www.mrc.ac.za/sites/default/files/files/2018-02-22/RapidMortalitySurveillanceReport2016.pdf</w:t>
      </w:r>
    </w:p>
  </w:footnote>
  <w:footnote w:id="10">
    <w:p w14:paraId="6A24AE46" w14:textId="77777777" w:rsidR="00D430A7" w:rsidRDefault="00D430A7" w:rsidP="00B44DE9">
      <w:pPr>
        <w:pStyle w:val="FootnoteText"/>
      </w:pPr>
      <w:r>
        <w:rPr>
          <w:rStyle w:val="FootnoteReference"/>
        </w:rPr>
        <w:footnoteRef/>
      </w:r>
      <w:r>
        <w:t xml:space="preserve"> Infant Mortality rate (per 1000 live births), South Africa </w:t>
      </w:r>
      <w:r w:rsidRPr="00847002">
        <w:t>https://data.worldbank.org</w:t>
      </w:r>
    </w:p>
  </w:footnote>
  <w:footnote w:id="11">
    <w:p w14:paraId="1C3E979C" w14:textId="77777777" w:rsidR="00D430A7" w:rsidRPr="00126176" w:rsidRDefault="00D430A7" w:rsidP="003B2FEA">
      <w:pPr>
        <w:pStyle w:val="FootnoteText"/>
        <w:rPr>
          <w:lang w:val="en-US"/>
        </w:rPr>
      </w:pPr>
      <w:r>
        <w:rPr>
          <w:rStyle w:val="FootnoteReference"/>
        </w:rPr>
        <w:footnoteRef/>
      </w:r>
      <w:r>
        <w:t xml:space="preserve">Department of Science and Technology (2017). South African Science, Technology and Innovation Indicators </w:t>
      </w:r>
      <w:hyperlink r:id="rId6" w:history="1">
        <w:r w:rsidRPr="00E21148">
          <w:rPr>
            <w:rStyle w:val="Hyperlink"/>
          </w:rPr>
          <w:t>http://www.naci.org.za/wp-content/uploads/2018/07/South_African_Science_Technology_And_Innovation_Indicators_Report_2017.pdf</w:t>
        </w:r>
      </w:hyperlink>
      <w:r>
        <w:t xml:space="preserve"> </w:t>
      </w:r>
    </w:p>
  </w:footnote>
  <w:footnote w:id="12">
    <w:p w14:paraId="284B0FE5" w14:textId="77777777" w:rsidR="00D430A7" w:rsidRPr="00BD047F" w:rsidRDefault="00D430A7" w:rsidP="00C7129E">
      <w:pPr>
        <w:pStyle w:val="FootnoteText"/>
        <w:rPr>
          <w:rFonts w:ascii="Arial" w:hAnsi="Arial" w:cs="Arial"/>
          <w:sz w:val="18"/>
          <w:szCs w:val="18"/>
        </w:rPr>
      </w:pPr>
      <w:r>
        <w:rPr>
          <w:rStyle w:val="FootnoteReference"/>
        </w:rPr>
        <w:footnoteRef/>
      </w:r>
      <w:r>
        <w:t xml:space="preserve"> </w:t>
      </w:r>
      <w:proofErr w:type="spellStart"/>
      <w:r w:rsidRPr="00551929">
        <w:rPr>
          <w:rFonts w:ascii="Arial" w:hAnsi="Arial" w:cs="Arial"/>
          <w:sz w:val="18"/>
          <w:szCs w:val="18"/>
        </w:rPr>
        <w:t>Selebalo</w:t>
      </w:r>
      <w:proofErr w:type="spellEnd"/>
      <w:r w:rsidRPr="00551929">
        <w:rPr>
          <w:rFonts w:ascii="Arial" w:hAnsi="Arial" w:cs="Arial"/>
          <w:sz w:val="18"/>
          <w:szCs w:val="18"/>
        </w:rPr>
        <w:t>, H &amp; Webster D, 2017. Monitoring the Right to Access of Adequate Housing in South Africa. Studies in Poverty &amp; Inequality Institute (SPIII) http://spii.org.za/wp-content/uploads/2018/02/Right-to-Housing_2017.pdf</w:t>
      </w:r>
    </w:p>
  </w:footnote>
  <w:footnote w:id="13">
    <w:p w14:paraId="62AD7DF6" w14:textId="77777777" w:rsidR="00D430A7" w:rsidRPr="00551929" w:rsidRDefault="00D430A7" w:rsidP="00C7129E">
      <w:pPr>
        <w:pStyle w:val="FootnoteText"/>
        <w:rPr>
          <w:rFonts w:ascii="Arial" w:hAnsi="Arial" w:cs="Arial"/>
          <w:sz w:val="18"/>
          <w:szCs w:val="18"/>
        </w:rPr>
      </w:pPr>
      <w:r w:rsidRPr="00551929">
        <w:rPr>
          <w:rStyle w:val="FootnoteReference"/>
          <w:rFonts w:ascii="Arial" w:hAnsi="Arial" w:cs="Arial"/>
          <w:sz w:val="18"/>
          <w:szCs w:val="18"/>
        </w:rPr>
        <w:footnoteRef/>
      </w:r>
      <w:proofErr w:type="spellStart"/>
      <w:r w:rsidRPr="00551929">
        <w:rPr>
          <w:rFonts w:ascii="Arial" w:hAnsi="Arial" w:cs="Arial"/>
          <w:sz w:val="18"/>
          <w:szCs w:val="18"/>
        </w:rPr>
        <w:t>Selebalo</w:t>
      </w:r>
      <w:proofErr w:type="spellEnd"/>
      <w:r w:rsidRPr="00551929">
        <w:rPr>
          <w:rFonts w:ascii="Arial" w:hAnsi="Arial" w:cs="Arial"/>
          <w:sz w:val="18"/>
          <w:szCs w:val="18"/>
        </w:rPr>
        <w:t>, H &amp; Webster D, 2017. Monitoring the Right to Access of Adequate Housing in South Africa.  Studies in Poverty &amp; Inequality Institute (SPIII) http://spii.org.za/wp-content/uploads/2018/02/Right-to-Housing_2017.pdf</w:t>
      </w:r>
    </w:p>
  </w:footnote>
  <w:footnote w:id="14">
    <w:p w14:paraId="34C621EE" w14:textId="77777777" w:rsidR="00D430A7" w:rsidRPr="00B406D6" w:rsidRDefault="00D430A7" w:rsidP="00222085">
      <w:pPr>
        <w:pStyle w:val="FootnoteText"/>
        <w:rPr>
          <w:lang w:val="en-GB"/>
        </w:rPr>
      </w:pPr>
      <w:r>
        <w:rPr>
          <w:rStyle w:val="FootnoteReference"/>
        </w:rPr>
        <w:footnoteRef/>
      </w:r>
      <w:r>
        <w:t xml:space="preserve"> </w:t>
      </w:r>
      <w:r>
        <w:rPr>
          <w:lang w:val="en-GB"/>
        </w:rPr>
        <w:t xml:space="preserve">CGE, 2016, </w:t>
      </w:r>
      <w:r w:rsidRPr="00B406D6">
        <w:rPr>
          <w:lang w:val="en-GB"/>
        </w:rPr>
        <w:t xml:space="preserve">Talking </w:t>
      </w:r>
      <w:r>
        <w:rPr>
          <w:lang w:val="en-GB"/>
        </w:rPr>
        <w:t>t</w:t>
      </w:r>
      <w:r w:rsidRPr="00B406D6">
        <w:rPr>
          <w:lang w:val="en-GB"/>
        </w:rPr>
        <w:t>he Talk,</w:t>
      </w:r>
      <w:r>
        <w:rPr>
          <w:lang w:val="en-GB"/>
        </w:rPr>
        <w:t xml:space="preserve"> </w:t>
      </w:r>
      <w:r w:rsidRPr="00B406D6">
        <w:rPr>
          <w:lang w:val="en-GB"/>
        </w:rPr>
        <w:t xml:space="preserve">Not Walking </w:t>
      </w:r>
      <w:r>
        <w:rPr>
          <w:lang w:val="en-GB"/>
        </w:rPr>
        <w:t>t</w:t>
      </w:r>
      <w:r w:rsidRPr="00B406D6">
        <w:rPr>
          <w:lang w:val="en-GB"/>
        </w:rPr>
        <w:t>he Walk</w:t>
      </w:r>
      <w:r>
        <w:rPr>
          <w:lang w:val="en-GB"/>
        </w:rPr>
        <w:t>, pg.22.</w:t>
      </w:r>
    </w:p>
  </w:footnote>
  <w:footnote w:id="15">
    <w:p w14:paraId="30107FF4" w14:textId="77777777" w:rsidR="00D430A7" w:rsidRPr="00141781" w:rsidRDefault="00D430A7" w:rsidP="00222085">
      <w:pPr>
        <w:pStyle w:val="FootnoteText"/>
        <w:rPr>
          <w:rFonts w:cstheme="minorHAnsi"/>
        </w:rPr>
      </w:pPr>
      <w:r w:rsidRPr="00141781">
        <w:rPr>
          <w:rStyle w:val="FootnoteReference"/>
          <w:rFonts w:cstheme="minorHAnsi"/>
        </w:rPr>
        <w:footnoteRef/>
      </w:r>
      <w:r w:rsidRPr="00141781">
        <w:rPr>
          <w:rFonts w:cstheme="minorHAnsi"/>
        </w:rPr>
        <w:t xml:space="preserve"> According to data released in QLFS by Stats SA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C1487"/>
    <w:multiLevelType w:val="hybridMultilevel"/>
    <w:tmpl w:val="719498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1AE16C84"/>
    <w:multiLevelType w:val="hybridMultilevel"/>
    <w:tmpl w:val="88B86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AF534F"/>
    <w:multiLevelType w:val="hybridMultilevel"/>
    <w:tmpl w:val="7EB2F0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2ACF7AAE"/>
    <w:multiLevelType w:val="multilevel"/>
    <w:tmpl w:val="1C090025"/>
    <w:lvl w:ilvl="0">
      <w:start w:val="1"/>
      <w:numFmt w:val="decimal"/>
      <w:pStyle w:val="Heading1"/>
      <w:lvlText w:val="%1"/>
      <w:lvlJc w:val="left"/>
      <w:pPr>
        <w:ind w:left="432" w:hanging="432"/>
      </w:pPr>
      <w:rPr>
        <w:rFonts w:hint="default"/>
        <w:b/>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nsid w:val="2E3567C0"/>
    <w:multiLevelType w:val="hybridMultilevel"/>
    <w:tmpl w:val="211229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44A35906"/>
    <w:multiLevelType w:val="hybridMultilevel"/>
    <w:tmpl w:val="1DD620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45A1652F"/>
    <w:multiLevelType w:val="hybridMultilevel"/>
    <w:tmpl w:val="306299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59C65015"/>
    <w:multiLevelType w:val="hybridMultilevel"/>
    <w:tmpl w:val="D228C6B6"/>
    <w:lvl w:ilvl="0" w:tplc="A790AB1E">
      <w:start w:val="1"/>
      <w:numFmt w:val="bullet"/>
      <w:lvlText w:val="–"/>
      <w:lvlJc w:val="left"/>
      <w:pPr>
        <w:tabs>
          <w:tab w:val="num" w:pos="720"/>
        </w:tabs>
        <w:ind w:left="720" w:hanging="360"/>
      </w:pPr>
      <w:rPr>
        <w:rFonts w:ascii="Arial" w:hAnsi="Arial" w:hint="default"/>
      </w:rPr>
    </w:lvl>
    <w:lvl w:ilvl="1" w:tplc="21D427B2">
      <w:start w:val="1"/>
      <w:numFmt w:val="bullet"/>
      <w:lvlText w:val="–"/>
      <w:lvlJc w:val="left"/>
      <w:pPr>
        <w:tabs>
          <w:tab w:val="num" w:pos="1440"/>
        </w:tabs>
        <w:ind w:left="1440" w:hanging="360"/>
      </w:pPr>
      <w:rPr>
        <w:rFonts w:ascii="Arial" w:hAnsi="Arial" w:hint="default"/>
      </w:rPr>
    </w:lvl>
    <w:lvl w:ilvl="2" w:tplc="5E7C1666">
      <w:start w:val="250"/>
      <w:numFmt w:val="bullet"/>
      <w:lvlText w:val="•"/>
      <w:lvlJc w:val="left"/>
      <w:pPr>
        <w:tabs>
          <w:tab w:val="num" w:pos="2160"/>
        </w:tabs>
        <w:ind w:left="2160" w:hanging="360"/>
      </w:pPr>
      <w:rPr>
        <w:rFonts w:ascii="Arial" w:hAnsi="Arial" w:hint="default"/>
      </w:rPr>
    </w:lvl>
    <w:lvl w:ilvl="3" w:tplc="9D16DF64" w:tentative="1">
      <w:start w:val="1"/>
      <w:numFmt w:val="bullet"/>
      <w:lvlText w:val="–"/>
      <w:lvlJc w:val="left"/>
      <w:pPr>
        <w:tabs>
          <w:tab w:val="num" w:pos="2880"/>
        </w:tabs>
        <w:ind w:left="2880" w:hanging="360"/>
      </w:pPr>
      <w:rPr>
        <w:rFonts w:ascii="Arial" w:hAnsi="Arial" w:hint="default"/>
      </w:rPr>
    </w:lvl>
    <w:lvl w:ilvl="4" w:tplc="7E3412A8" w:tentative="1">
      <w:start w:val="1"/>
      <w:numFmt w:val="bullet"/>
      <w:lvlText w:val="–"/>
      <w:lvlJc w:val="left"/>
      <w:pPr>
        <w:tabs>
          <w:tab w:val="num" w:pos="3600"/>
        </w:tabs>
        <w:ind w:left="3600" w:hanging="360"/>
      </w:pPr>
      <w:rPr>
        <w:rFonts w:ascii="Arial" w:hAnsi="Arial" w:hint="default"/>
      </w:rPr>
    </w:lvl>
    <w:lvl w:ilvl="5" w:tplc="0B0C3544" w:tentative="1">
      <w:start w:val="1"/>
      <w:numFmt w:val="bullet"/>
      <w:lvlText w:val="–"/>
      <w:lvlJc w:val="left"/>
      <w:pPr>
        <w:tabs>
          <w:tab w:val="num" w:pos="4320"/>
        </w:tabs>
        <w:ind w:left="4320" w:hanging="360"/>
      </w:pPr>
      <w:rPr>
        <w:rFonts w:ascii="Arial" w:hAnsi="Arial" w:hint="default"/>
      </w:rPr>
    </w:lvl>
    <w:lvl w:ilvl="6" w:tplc="B9F0A5CA" w:tentative="1">
      <w:start w:val="1"/>
      <w:numFmt w:val="bullet"/>
      <w:lvlText w:val="–"/>
      <w:lvlJc w:val="left"/>
      <w:pPr>
        <w:tabs>
          <w:tab w:val="num" w:pos="5040"/>
        </w:tabs>
        <w:ind w:left="5040" w:hanging="360"/>
      </w:pPr>
      <w:rPr>
        <w:rFonts w:ascii="Arial" w:hAnsi="Arial" w:hint="default"/>
      </w:rPr>
    </w:lvl>
    <w:lvl w:ilvl="7" w:tplc="DA8232FA" w:tentative="1">
      <w:start w:val="1"/>
      <w:numFmt w:val="bullet"/>
      <w:lvlText w:val="–"/>
      <w:lvlJc w:val="left"/>
      <w:pPr>
        <w:tabs>
          <w:tab w:val="num" w:pos="5760"/>
        </w:tabs>
        <w:ind w:left="5760" w:hanging="360"/>
      </w:pPr>
      <w:rPr>
        <w:rFonts w:ascii="Arial" w:hAnsi="Arial" w:hint="default"/>
      </w:rPr>
    </w:lvl>
    <w:lvl w:ilvl="8" w:tplc="10C4B50E" w:tentative="1">
      <w:start w:val="1"/>
      <w:numFmt w:val="bullet"/>
      <w:lvlText w:val="–"/>
      <w:lvlJc w:val="left"/>
      <w:pPr>
        <w:tabs>
          <w:tab w:val="num" w:pos="6480"/>
        </w:tabs>
        <w:ind w:left="6480" w:hanging="360"/>
      </w:pPr>
      <w:rPr>
        <w:rFonts w:ascii="Arial" w:hAnsi="Arial" w:hint="default"/>
      </w:rPr>
    </w:lvl>
  </w:abstractNum>
  <w:abstractNum w:abstractNumId="8">
    <w:nsid w:val="6BF8510C"/>
    <w:multiLevelType w:val="hybridMultilevel"/>
    <w:tmpl w:val="55B2FB5C"/>
    <w:lvl w:ilvl="0" w:tplc="1C090001">
      <w:start w:val="1"/>
      <w:numFmt w:val="bullet"/>
      <w:lvlText w:val=""/>
      <w:lvlJc w:val="left"/>
      <w:pPr>
        <w:ind w:left="720" w:hanging="360"/>
      </w:pPr>
      <w:rPr>
        <w:rFonts w:ascii="Symbol" w:hAnsi="Symbol" w:hint="default"/>
      </w:rPr>
    </w:lvl>
    <w:lvl w:ilvl="1" w:tplc="9AF4F194">
      <w:numFmt w:val="bullet"/>
      <w:lvlText w:val="•"/>
      <w:lvlJc w:val="left"/>
      <w:pPr>
        <w:ind w:left="1800" w:hanging="720"/>
      </w:pPr>
      <w:rPr>
        <w:rFonts w:ascii="Arial" w:eastAsiaTheme="minorEastAsia" w:hAnsi="Arial"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70F2435A"/>
    <w:multiLevelType w:val="hybridMultilevel"/>
    <w:tmpl w:val="2C4CD09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nsid w:val="7BA82FC2"/>
    <w:multiLevelType w:val="hybridMultilevel"/>
    <w:tmpl w:val="3800C860"/>
    <w:lvl w:ilvl="0" w:tplc="95486528">
      <w:start w:val="3"/>
      <w:numFmt w:val="bullet"/>
      <w:lvlText w:val="-"/>
      <w:lvlJc w:val="left"/>
      <w:pPr>
        <w:ind w:left="1080" w:hanging="360"/>
      </w:pPr>
      <w:rPr>
        <w:rFonts w:ascii="Arial Narrow" w:eastAsiaTheme="minorHAnsi" w:hAnsi="Arial Narrow"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8"/>
  </w:num>
  <w:num w:numId="2">
    <w:abstractNumId w:val="10"/>
  </w:num>
  <w:num w:numId="3">
    <w:abstractNumId w:val="0"/>
  </w:num>
  <w:num w:numId="4">
    <w:abstractNumId w:val="1"/>
  </w:num>
  <w:num w:numId="5">
    <w:abstractNumId w:val="4"/>
  </w:num>
  <w:num w:numId="6">
    <w:abstractNumId w:val="3"/>
  </w:num>
  <w:num w:numId="7">
    <w:abstractNumId w:val="7"/>
  </w:num>
  <w:num w:numId="8">
    <w:abstractNumId w:val="5"/>
  </w:num>
  <w:num w:numId="9">
    <w:abstractNumId w:val="9"/>
  </w:num>
  <w:num w:numId="10">
    <w:abstractNumId w:val="6"/>
  </w:num>
  <w:num w:numId="1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2CE"/>
    <w:rsid w:val="00000A44"/>
    <w:rsid w:val="000034F0"/>
    <w:rsid w:val="0000445C"/>
    <w:rsid w:val="00013B62"/>
    <w:rsid w:val="00013BF6"/>
    <w:rsid w:val="00014818"/>
    <w:rsid w:val="00014A29"/>
    <w:rsid w:val="00026E94"/>
    <w:rsid w:val="000355B9"/>
    <w:rsid w:val="00046246"/>
    <w:rsid w:val="00053299"/>
    <w:rsid w:val="000568B4"/>
    <w:rsid w:val="00083AA0"/>
    <w:rsid w:val="00087B5F"/>
    <w:rsid w:val="00094282"/>
    <w:rsid w:val="00096462"/>
    <w:rsid w:val="000A41BC"/>
    <w:rsid w:val="000A4B35"/>
    <w:rsid w:val="000A60EB"/>
    <w:rsid w:val="000A6BAE"/>
    <w:rsid w:val="000A767B"/>
    <w:rsid w:val="000B5738"/>
    <w:rsid w:val="000C42A5"/>
    <w:rsid w:val="000C4BF3"/>
    <w:rsid w:val="000D5530"/>
    <w:rsid w:val="000E42FB"/>
    <w:rsid w:val="000F39B8"/>
    <w:rsid w:val="0010178D"/>
    <w:rsid w:val="00102C53"/>
    <w:rsid w:val="001055C2"/>
    <w:rsid w:val="0011165C"/>
    <w:rsid w:val="00112CCC"/>
    <w:rsid w:val="001234F4"/>
    <w:rsid w:val="0013481D"/>
    <w:rsid w:val="00172138"/>
    <w:rsid w:val="00172C5E"/>
    <w:rsid w:val="00174A8E"/>
    <w:rsid w:val="00175387"/>
    <w:rsid w:val="001833A0"/>
    <w:rsid w:val="00184B98"/>
    <w:rsid w:val="00192304"/>
    <w:rsid w:val="001933ED"/>
    <w:rsid w:val="001C00F2"/>
    <w:rsid w:val="001C3676"/>
    <w:rsid w:val="001C387A"/>
    <w:rsid w:val="001C47BE"/>
    <w:rsid w:val="001D5997"/>
    <w:rsid w:val="001E448B"/>
    <w:rsid w:val="0020067C"/>
    <w:rsid w:val="00210BB6"/>
    <w:rsid w:val="00214EE6"/>
    <w:rsid w:val="002206A6"/>
    <w:rsid w:val="00222085"/>
    <w:rsid w:val="0022662F"/>
    <w:rsid w:val="00240CD8"/>
    <w:rsid w:val="0024411F"/>
    <w:rsid w:val="0024491D"/>
    <w:rsid w:val="00245F0D"/>
    <w:rsid w:val="00247460"/>
    <w:rsid w:val="00255D04"/>
    <w:rsid w:val="00266A0B"/>
    <w:rsid w:val="002702CE"/>
    <w:rsid w:val="002750B1"/>
    <w:rsid w:val="0027797C"/>
    <w:rsid w:val="00283BEE"/>
    <w:rsid w:val="002965EC"/>
    <w:rsid w:val="002A36A3"/>
    <w:rsid w:val="002A3FD9"/>
    <w:rsid w:val="002B5EE8"/>
    <w:rsid w:val="002C4E2C"/>
    <w:rsid w:val="002C59ED"/>
    <w:rsid w:val="002D25BD"/>
    <w:rsid w:val="002D461B"/>
    <w:rsid w:val="002D52E5"/>
    <w:rsid w:val="002E09A8"/>
    <w:rsid w:val="002E6110"/>
    <w:rsid w:val="002F02E1"/>
    <w:rsid w:val="002F4E00"/>
    <w:rsid w:val="002F6C9A"/>
    <w:rsid w:val="003122A1"/>
    <w:rsid w:val="00317C62"/>
    <w:rsid w:val="00337F31"/>
    <w:rsid w:val="00340878"/>
    <w:rsid w:val="00344403"/>
    <w:rsid w:val="00350E10"/>
    <w:rsid w:val="003538A2"/>
    <w:rsid w:val="00371DA4"/>
    <w:rsid w:val="00380CAA"/>
    <w:rsid w:val="00384AD2"/>
    <w:rsid w:val="0038661D"/>
    <w:rsid w:val="00393162"/>
    <w:rsid w:val="003A1701"/>
    <w:rsid w:val="003B2FEA"/>
    <w:rsid w:val="003C43EA"/>
    <w:rsid w:val="003D3776"/>
    <w:rsid w:val="003D3A32"/>
    <w:rsid w:val="003D5B7E"/>
    <w:rsid w:val="003D6F80"/>
    <w:rsid w:val="00402963"/>
    <w:rsid w:val="004129A7"/>
    <w:rsid w:val="00413A3E"/>
    <w:rsid w:val="00415A47"/>
    <w:rsid w:val="004254C0"/>
    <w:rsid w:val="00430F68"/>
    <w:rsid w:val="0043260D"/>
    <w:rsid w:val="00432A25"/>
    <w:rsid w:val="00435C21"/>
    <w:rsid w:val="00442D48"/>
    <w:rsid w:val="00444EB3"/>
    <w:rsid w:val="00452538"/>
    <w:rsid w:val="00455B53"/>
    <w:rsid w:val="004576D4"/>
    <w:rsid w:val="00462DF1"/>
    <w:rsid w:val="0046539E"/>
    <w:rsid w:val="00465F7F"/>
    <w:rsid w:val="00467C7A"/>
    <w:rsid w:val="00471F08"/>
    <w:rsid w:val="0047465D"/>
    <w:rsid w:val="004A34D1"/>
    <w:rsid w:val="004A4979"/>
    <w:rsid w:val="004E6AE7"/>
    <w:rsid w:val="004F4E40"/>
    <w:rsid w:val="00501928"/>
    <w:rsid w:val="0050498C"/>
    <w:rsid w:val="00507F89"/>
    <w:rsid w:val="00532202"/>
    <w:rsid w:val="005366D5"/>
    <w:rsid w:val="00555B01"/>
    <w:rsid w:val="00556D6E"/>
    <w:rsid w:val="0056478E"/>
    <w:rsid w:val="00565390"/>
    <w:rsid w:val="0057714B"/>
    <w:rsid w:val="0058313D"/>
    <w:rsid w:val="00585ACA"/>
    <w:rsid w:val="005A4D70"/>
    <w:rsid w:val="005B13FB"/>
    <w:rsid w:val="005B1C2B"/>
    <w:rsid w:val="005C4A0E"/>
    <w:rsid w:val="005F103C"/>
    <w:rsid w:val="005F4323"/>
    <w:rsid w:val="005F4619"/>
    <w:rsid w:val="006011C2"/>
    <w:rsid w:val="00614835"/>
    <w:rsid w:val="006308AD"/>
    <w:rsid w:val="006343F0"/>
    <w:rsid w:val="0064460C"/>
    <w:rsid w:val="0065126C"/>
    <w:rsid w:val="006560F0"/>
    <w:rsid w:val="00661E40"/>
    <w:rsid w:val="00663E9D"/>
    <w:rsid w:val="00677CC0"/>
    <w:rsid w:val="00682CEE"/>
    <w:rsid w:val="006857AF"/>
    <w:rsid w:val="0069057A"/>
    <w:rsid w:val="0069721D"/>
    <w:rsid w:val="006A474B"/>
    <w:rsid w:val="006A57FC"/>
    <w:rsid w:val="006A7149"/>
    <w:rsid w:val="006B5850"/>
    <w:rsid w:val="006C045A"/>
    <w:rsid w:val="006C3B65"/>
    <w:rsid w:val="006C432D"/>
    <w:rsid w:val="006D2A9F"/>
    <w:rsid w:val="006D452D"/>
    <w:rsid w:val="006D75F5"/>
    <w:rsid w:val="006E4EBC"/>
    <w:rsid w:val="006E7058"/>
    <w:rsid w:val="006F2B6B"/>
    <w:rsid w:val="006F2CDC"/>
    <w:rsid w:val="006F7F16"/>
    <w:rsid w:val="00707CDC"/>
    <w:rsid w:val="00714D11"/>
    <w:rsid w:val="00720525"/>
    <w:rsid w:val="00733153"/>
    <w:rsid w:val="00736B30"/>
    <w:rsid w:val="007528B3"/>
    <w:rsid w:val="00760298"/>
    <w:rsid w:val="0076122A"/>
    <w:rsid w:val="0076454E"/>
    <w:rsid w:val="00774BAD"/>
    <w:rsid w:val="007761F8"/>
    <w:rsid w:val="0077736A"/>
    <w:rsid w:val="0078293A"/>
    <w:rsid w:val="00790E5B"/>
    <w:rsid w:val="00791D0F"/>
    <w:rsid w:val="007950C6"/>
    <w:rsid w:val="007A4894"/>
    <w:rsid w:val="007A5C09"/>
    <w:rsid w:val="007A5E85"/>
    <w:rsid w:val="007B1B4F"/>
    <w:rsid w:val="007B69F2"/>
    <w:rsid w:val="007B6DD2"/>
    <w:rsid w:val="007B76EC"/>
    <w:rsid w:val="007B7D0B"/>
    <w:rsid w:val="007C1504"/>
    <w:rsid w:val="007C3941"/>
    <w:rsid w:val="007C440E"/>
    <w:rsid w:val="007C7AE1"/>
    <w:rsid w:val="007D3115"/>
    <w:rsid w:val="007D56CB"/>
    <w:rsid w:val="007D723C"/>
    <w:rsid w:val="007E2FA0"/>
    <w:rsid w:val="007F327C"/>
    <w:rsid w:val="007F5B40"/>
    <w:rsid w:val="00800B84"/>
    <w:rsid w:val="00807A16"/>
    <w:rsid w:val="00812750"/>
    <w:rsid w:val="00814D2E"/>
    <w:rsid w:val="00815EA8"/>
    <w:rsid w:val="00827862"/>
    <w:rsid w:val="0084428E"/>
    <w:rsid w:val="00852C76"/>
    <w:rsid w:val="00854FE7"/>
    <w:rsid w:val="00861029"/>
    <w:rsid w:val="00863348"/>
    <w:rsid w:val="008639EC"/>
    <w:rsid w:val="0087127C"/>
    <w:rsid w:val="00874DFB"/>
    <w:rsid w:val="00877CB7"/>
    <w:rsid w:val="008900C6"/>
    <w:rsid w:val="0089223E"/>
    <w:rsid w:val="00892298"/>
    <w:rsid w:val="00892520"/>
    <w:rsid w:val="00894555"/>
    <w:rsid w:val="00896C39"/>
    <w:rsid w:val="008B1BBB"/>
    <w:rsid w:val="008B4D34"/>
    <w:rsid w:val="008C098A"/>
    <w:rsid w:val="008C4B30"/>
    <w:rsid w:val="008E58D1"/>
    <w:rsid w:val="00903E73"/>
    <w:rsid w:val="00907BDF"/>
    <w:rsid w:val="0091707D"/>
    <w:rsid w:val="00930A0C"/>
    <w:rsid w:val="00940B95"/>
    <w:rsid w:val="00941CFC"/>
    <w:rsid w:val="0096024E"/>
    <w:rsid w:val="00967650"/>
    <w:rsid w:val="009722BC"/>
    <w:rsid w:val="00976A90"/>
    <w:rsid w:val="00982D3D"/>
    <w:rsid w:val="00986BD4"/>
    <w:rsid w:val="00997890"/>
    <w:rsid w:val="009A3604"/>
    <w:rsid w:val="009A7E08"/>
    <w:rsid w:val="009B2FED"/>
    <w:rsid w:val="009B4D44"/>
    <w:rsid w:val="009C0024"/>
    <w:rsid w:val="009C1DA0"/>
    <w:rsid w:val="009C22E0"/>
    <w:rsid w:val="009C38AB"/>
    <w:rsid w:val="009C4365"/>
    <w:rsid w:val="009D2CAC"/>
    <w:rsid w:val="009D7FE4"/>
    <w:rsid w:val="009E1C4B"/>
    <w:rsid w:val="009E240C"/>
    <w:rsid w:val="009E2A21"/>
    <w:rsid w:val="009E495C"/>
    <w:rsid w:val="009E4CA5"/>
    <w:rsid w:val="009F70A4"/>
    <w:rsid w:val="00A242D6"/>
    <w:rsid w:val="00A279BA"/>
    <w:rsid w:val="00A36117"/>
    <w:rsid w:val="00A431D2"/>
    <w:rsid w:val="00A61CAD"/>
    <w:rsid w:val="00A63A02"/>
    <w:rsid w:val="00A6635A"/>
    <w:rsid w:val="00A712DE"/>
    <w:rsid w:val="00A72E95"/>
    <w:rsid w:val="00A7470A"/>
    <w:rsid w:val="00A84345"/>
    <w:rsid w:val="00A92240"/>
    <w:rsid w:val="00AA2A47"/>
    <w:rsid w:val="00AA412E"/>
    <w:rsid w:val="00AB7A63"/>
    <w:rsid w:val="00AB7FE9"/>
    <w:rsid w:val="00AC1543"/>
    <w:rsid w:val="00AC2690"/>
    <w:rsid w:val="00AC398E"/>
    <w:rsid w:val="00AC5930"/>
    <w:rsid w:val="00AD4D4C"/>
    <w:rsid w:val="00AE4DE9"/>
    <w:rsid w:val="00AF31DD"/>
    <w:rsid w:val="00B166C8"/>
    <w:rsid w:val="00B3593F"/>
    <w:rsid w:val="00B36ECD"/>
    <w:rsid w:val="00B41800"/>
    <w:rsid w:val="00B43E08"/>
    <w:rsid w:val="00B44DE9"/>
    <w:rsid w:val="00B45230"/>
    <w:rsid w:val="00B64671"/>
    <w:rsid w:val="00B64A2B"/>
    <w:rsid w:val="00B6725B"/>
    <w:rsid w:val="00B67AC7"/>
    <w:rsid w:val="00B71021"/>
    <w:rsid w:val="00B73CE3"/>
    <w:rsid w:val="00B832DB"/>
    <w:rsid w:val="00B914F0"/>
    <w:rsid w:val="00B92A26"/>
    <w:rsid w:val="00B9318A"/>
    <w:rsid w:val="00BA0897"/>
    <w:rsid w:val="00BA63AD"/>
    <w:rsid w:val="00BA6BA2"/>
    <w:rsid w:val="00BA6E48"/>
    <w:rsid w:val="00BC4B0B"/>
    <w:rsid w:val="00BD66AE"/>
    <w:rsid w:val="00BE720A"/>
    <w:rsid w:val="00BF17BF"/>
    <w:rsid w:val="00BF339F"/>
    <w:rsid w:val="00C07C2E"/>
    <w:rsid w:val="00C17C48"/>
    <w:rsid w:val="00C21F24"/>
    <w:rsid w:val="00C330F8"/>
    <w:rsid w:val="00C35278"/>
    <w:rsid w:val="00C4031F"/>
    <w:rsid w:val="00C43915"/>
    <w:rsid w:val="00C52396"/>
    <w:rsid w:val="00C52C06"/>
    <w:rsid w:val="00C613AC"/>
    <w:rsid w:val="00C63C7F"/>
    <w:rsid w:val="00C7129E"/>
    <w:rsid w:val="00C753DC"/>
    <w:rsid w:val="00C7674C"/>
    <w:rsid w:val="00C818BC"/>
    <w:rsid w:val="00CA0024"/>
    <w:rsid w:val="00CA0185"/>
    <w:rsid w:val="00CA3BD5"/>
    <w:rsid w:val="00CB08C8"/>
    <w:rsid w:val="00CC02CD"/>
    <w:rsid w:val="00CC7BBF"/>
    <w:rsid w:val="00CD2476"/>
    <w:rsid w:val="00CD5076"/>
    <w:rsid w:val="00CD7701"/>
    <w:rsid w:val="00CE11C7"/>
    <w:rsid w:val="00CE2708"/>
    <w:rsid w:val="00CE320E"/>
    <w:rsid w:val="00CE3278"/>
    <w:rsid w:val="00CE54DB"/>
    <w:rsid w:val="00CF18FB"/>
    <w:rsid w:val="00D00FBB"/>
    <w:rsid w:val="00D109CD"/>
    <w:rsid w:val="00D16984"/>
    <w:rsid w:val="00D16E06"/>
    <w:rsid w:val="00D21A12"/>
    <w:rsid w:val="00D25538"/>
    <w:rsid w:val="00D27CFB"/>
    <w:rsid w:val="00D32007"/>
    <w:rsid w:val="00D32257"/>
    <w:rsid w:val="00D32584"/>
    <w:rsid w:val="00D36039"/>
    <w:rsid w:val="00D37835"/>
    <w:rsid w:val="00D4075C"/>
    <w:rsid w:val="00D430A7"/>
    <w:rsid w:val="00D548BA"/>
    <w:rsid w:val="00D57BF9"/>
    <w:rsid w:val="00D64B15"/>
    <w:rsid w:val="00D64DB7"/>
    <w:rsid w:val="00D664B9"/>
    <w:rsid w:val="00D730E7"/>
    <w:rsid w:val="00D74DAB"/>
    <w:rsid w:val="00D7573B"/>
    <w:rsid w:val="00D830F5"/>
    <w:rsid w:val="00D8633D"/>
    <w:rsid w:val="00D92090"/>
    <w:rsid w:val="00D924B8"/>
    <w:rsid w:val="00D92744"/>
    <w:rsid w:val="00D93B5A"/>
    <w:rsid w:val="00D93F39"/>
    <w:rsid w:val="00DB1D8A"/>
    <w:rsid w:val="00DB265F"/>
    <w:rsid w:val="00DB2FAC"/>
    <w:rsid w:val="00DC2AE0"/>
    <w:rsid w:val="00DC6D47"/>
    <w:rsid w:val="00DD367A"/>
    <w:rsid w:val="00DE0F15"/>
    <w:rsid w:val="00DE72A1"/>
    <w:rsid w:val="00DF1B16"/>
    <w:rsid w:val="00E1016B"/>
    <w:rsid w:val="00E155D4"/>
    <w:rsid w:val="00E205E6"/>
    <w:rsid w:val="00E21008"/>
    <w:rsid w:val="00E30C27"/>
    <w:rsid w:val="00E31912"/>
    <w:rsid w:val="00E401E2"/>
    <w:rsid w:val="00E50BAE"/>
    <w:rsid w:val="00E541DF"/>
    <w:rsid w:val="00E60AF8"/>
    <w:rsid w:val="00E730A5"/>
    <w:rsid w:val="00E92B3D"/>
    <w:rsid w:val="00E937CA"/>
    <w:rsid w:val="00E968F4"/>
    <w:rsid w:val="00EB437B"/>
    <w:rsid w:val="00EC078F"/>
    <w:rsid w:val="00EC4CE3"/>
    <w:rsid w:val="00EC4FAB"/>
    <w:rsid w:val="00ED288E"/>
    <w:rsid w:val="00EE2D59"/>
    <w:rsid w:val="00EE75D7"/>
    <w:rsid w:val="00EF4D48"/>
    <w:rsid w:val="00F01B61"/>
    <w:rsid w:val="00F10987"/>
    <w:rsid w:val="00F11431"/>
    <w:rsid w:val="00F13E5B"/>
    <w:rsid w:val="00F14D40"/>
    <w:rsid w:val="00F27A96"/>
    <w:rsid w:val="00F5617C"/>
    <w:rsid w:val="00F61FAB"/>
    <w:rsid w:val="00F621B6"/>
    <w:rsid w:val="00F82DC3"/>
    <w:rsid w:val="00F85614"/>
    <w:rsid w:val="00F94695"/>
    <w:rsid w:val="00F97699"/>
    <w:rsid w:val="00FA3269"/>
    <w:rsid w:val="00FC0C33"/>
    <w:rsid w:val="00FD3C3B"/>
    <w:rsid w:val="00FE7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3E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029"/>
    <w:pPr>
      <w:jc w:val="both"/>
    </w:pPr>
    <w:rPr>
      <w:rFonts w:ascii="Arial Narrow" w:hAnsi="Arial Narrow"/>
      <w:sz w:val="24"/>
    </w:rPr>
  </w:style>
  <w:style w:type="paragraph" w:styleId="Heading1">
    <w:name w:val="heading 1"/>
    <w:basedOn w:val="Normal"/>
    <w:next w:val="Normal"/>
    <w:link w:val="Heading1Char"/>
    <w:uiPriority w:val="9"/>
    <w:qFormat/>
    <w:rsid w:val="001933ED"/>
    <w:pPr>
      <w:keepNext/>
      <w:keepLines/>
      <w:numPr>
        <w:numId w:val="6"/>
      </w:numPr>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BA63AD"/>
    <w:pPr>
      <w:keepNext/>
      <w:keepLines/>
      <w:numPr>
        <w:ilvl w:val="1"/>
        <w:numId w:val="6"/>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933ED"/>
    <w:pPr>
      <w:keepNext/>
      <w:keepLines/>
      <w:numPr>
        <w:ilvl w:val="2"/>
        <w:numId w:val="6"/>
      </w:numPr>
      <w:spacing w:before="200" w:after="0"/>
      <w:outlineLvl w:val="2"/>
    </w:pPr>
    <w:rPr>
      <w:rFonts w:eastAsiaTheme="majorEastAsia" w:cstheme="majorBidi"/>
      <w:b/>
      <w:bCs/>
      <w:lang w:val="en-ZA" w:eastAsia="en-ZA"/>
    </w:rPr>
  </w:style>
  <w:style w:type="paragraph" w:styleId="Heading4">
    <w:name w:val="heading 4"/>
    <w:basedOn w:val="Normal"/>
    <w:next w:val="Normal"/>
    <w:link w:val="Heading4Char"/>
    <w:uiPriority w:val="9"/>
    <w:unhideWhenUsed/>
    <w:qFormat/>
    <w:rsid w:val="001933ED"/>
    <w:pPr>
      <w:keepNext/>
      <w:keepLines/>
      <w:numPr>
        <w:ilvl w:val="3"/>
        <w:numId w:val="6"/>
      </w:numPr>
      <w:spacing w:before="40" w:after="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877CB7"/>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C47BE"/>
    <w:pPr>
      <w:keepNext/>
      <w:keepLines/>
      <w:numPr>
        <w:ilvl w:val="5"/>
        <w:numId w:val="6"/>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C47BE"/>
    <w:pPr>
      <w:keepNext/>
      <w:keepLines/>
      <w:numPr>
        <w:ilvl w:val="6"/>
        <w:numId w:val="6"/>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C47BE"/>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C47BE"/>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 Paragraph,References,List Paragraph 1,List Paragraph11,Bullets,• List Paragraph,Numbered List Paragraph,ReferencesCxSpLast,List Paragraph (numbered (a)),List Paragraph nowy,Liste 1,Bullet,Heading 2_sj,Bullit,Lettre d'introduction,3"/>
    <w:basedOn w:val="Normal"/>
    <w:link w:val="ListParagraphChar"/>
    <w:uiPriority w:val="34"/>
    <w:qFormat/>
    <w:rsid w:val="00102C53"/>
    <w:pPr>
      <w:ind w:left="720"/>
      <w:contextualSpacing/>
    </w:pPr>
  </w:style>
  <w:style w:type="paragraph" w:styleId="Header">
    <w:name w:val="header"/>
    <w:basedOn w:val="Normal"/>
    <w:link w:val="HeaderChar"/>
    <w:uiPriority w:val="99"/>
    <w:unhideWhenUsed/>
    <w:rsid w:val="00B359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93F"/>
  </w:style>
  <w:style w:type="paragraph" w:styleId="Footer">
    <w:name w:val="footer"/>
    <w:basedOn w:val="Normal"/>
    <w:link w:val="FooterChar"/>
    <w:uiPriority w:val="99"/>
    <w:unhideWhenUsed/>
    <w:rsid w:val="00B359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93F"/>
  </w:style>
  <w:style w:type="paragraph" w:styleId="BalloonText">
    <w:name w:val="Balloon Text"/>
    <w:basedOn w:val="Normal"/>
    <w:link w:val="BalloonTextChar"/>
    <w:uiPriority w:val="99"/>
    <w:semiHidden/>
    <w:unhideWhenUsed/>
    <w:rsid w:val="006C4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32D"/>
    <w:rPr>
      <w:rFonts w:ascii="Tahoma" w:hAnsi="Tahoma" w:cs="Tahoma"/>
      <w:sz w:val="16"/>
      <w:szCs w:val="16"/>
    </w:rPr>
  </w:style>
  <w:style w:type="paragraph" w:customStyle="1" w:styleId="Default">
    <w:name w:val="Default"/>
    <w:rsid w:val="00760298"/>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FootnoteTextChar">
    <w:name w:val="Footnote Text Char"/>
    <w:aliases w:val="Footnote Text Char Char Char Char,Footnote Text Char Char Char1,Footnote Text Char Char Char Char Char Char Char Char Char Char,Footnote Text Char Char Char Char Char Char Char Char Char Char Char C Char,Char Char Char Char Char"/>
    <w:basedOn w:val="DefaultParagraphFont"/>
    <w:link w:val="FootnoteText"/>
    <w:uiPriority w:val="99"/>
    <w:locked/>
    <w:rsid w:val="00F11431"/>
    <w:rPr>
      <w:rFonts w:ascii="Calibri" w:eastAsia="Calibri" w:hAnsi="Calibri" w:cs="Times New Roman"/>
      <w:sz w:val="20"/>
      <w:szCs w:val="20"/>
      <w:lang w:val="en-ZA"/>
    </w:rPr>
  </w:style>
  <w:style w:type="paragraph" w:styleId="FootnoteText">
    <w:name w:val="footnote text"/>
    <w:aliases w:val="Footnote Text Char Char Char,Footnote Text Char Char,Footnote Text Char Char Char Char Char Char Char Char Char,Footnote Text Char Char Char Char Char Char Char Char Char Char Char C,Char Char Char Char,Char Char Char Char Char Char Char"/>
    <w:basedOn w:val="Normal"/>
    <w:link w:val="FootnoteTextChar"/>
    <w:uiPriority w:val="99"/>
    <w:unhideWhenUsed/>
    <w:qFormat/>
    <w:rsid w:val="00F11431"/>
    <w:pPr>
      <w:spacing w:after="0" w:line="240" w:lineRule="auto"/>
    </w:pPr>
    <w:rPr>
      <w:rFonts w:ascii="Calibri" w:eastAsia="Calibri" w:hAnsi="Calibri" w:cs="Times New Roman"/>
      <w:sz w:val="20"/>
      <w:szCs w:val="20"/>
      <w:lang w:val="en-ZA"/>
    </w:rPr>
  </w:style>
  <w:style w:type="character" w:customStyle="1" w:styleId="FootnoteTextChar1">
    <w:name w:val="Footnote Text Char1"/>
    <w:basedOn w:val="DefaultParagraphFont"/>
    <w:uiPriority w:val="99"/>
    <w:semiHidden/>
    <w:rsid w:val="00F11431"/>
    <w:rPr>
      <w:sz w:val="20"/>
      <w:szCs w:val="20"/>
    </w:rPr>
  </w:style>
  <w:style w:type="character" w:styleId="FootnoteReference">
    <w:name w:val="footnote reference"/>
    <w:aliases w:val="Знак сноски-FN,16 Point,Superscript 6 Point,Footnote Reference Superscript,Footnote symbol,ftref,???? ??????-FN,Footnote Reference Number,Footnote Reference_LVL6,Footnote Reference_LVL61,Footnote Reference_LVL62,Footnote Reference_LVL"/>
    <w:basedOn w:val="DefaultParagraphFont"/>
    <w:uiPriority w:val="99"/>
    <w:unhideWhenUsed/>
    <w:rsid w:val="00F11431"/>
    <w:rPr>
      <w:vertAlign w:val="superscript"/>
    </w:rPr>
  </w:style>
  <w:style w:type="character" w:styleId="Hyperlink">
    <w:name w:val="Hyperlink"/>
    <w:basedOn w:val="DefaultParagraphFont"/>
    <w:uiPriority w:val="99"/>
    <w:unhideWhenUsed/>
    <w:rsid w:val="00940B95"/>
    <w:rPr>
      <w:b w:val="0"/>
      <w:bCs w:val="0"/>
      <w:strike w:val="0"/>
      <w:dstrike w:val="0"/>
      <w:color w:val="0066CC"/>
      <w:u w:val="none"/>
      <w:effect w:val="none"/>
    </w:rPr>
  </w:style>
  <w:style w:type="paragraph" w:styleId="NormalWeb">
    <w:name w:val="Normal (Web)"/>
    <w:basedOn w:val="Normal"/>
    <w:uiPriority w:val="99"/>
    <w:unhideWhenUsed/>
    <w:rsid w:val="00940B95"/>
    <w:pPr>
      <w:spacing w:before="168" w:after="168" w:line="240" w:lineRule="auto"/>
    </w:pPr>
    <w:rPr>
      <w:rFonts w:ascii="Times New Roman" w:eastAsia="Times New Roman" w:hAnsi="Times New Roman" w:cs="Times New Roman"/>
      <w:szCs w:val="24"/>
      <w:lang w:val="en-ZA" w:eastAsia="en-ZA"/>
    </w:rPr>
  </w:style>
  <w:style w:type="character" w:customStyle="1" w:styleId="ListParagraphChar">
    <w:name w:val="List Paragraph Char"/>
    <w:aliases w:val="Indent Paragraph Char,References Char,List Paragraph 1 Char,List Paragraph11 Char,Bullets Char,• List Paragraph Char,Numbered List Paragraph Char,ReferencesCxSpLast Char,List Paragraph (numbered (a)) Char,List Paragraph nowy Char"/>
    <w:link w:val="ListParagraph"/>
    <w:uiPriority w:val="34"/>
    <w:locked/>
    <w:rsid w:val="00D32257"/>
  </w:style>
  <w:style w:type="character" w:customStyle="1" w:styleId="Heading3Char">
    <w:name w:val="Heading 3 Char"/>
    <w:basedOn w:val="DefaultParagraphFont"/>
    <w:link w:val="Heading3"/>
    <w:uiPriority w:val="9"/>
    <w:rsid w:val="001933ED"/>
    <w:rPr>
      <w:rFonts w:ascii="Arial Narrow" w:eastAsiaTheme="majorEastAsia" w:hAnsi="Arial Narrow" w:cstheme="majorBidi"/>
      <w:b/>
      <w:bCs/>
      <w:sz w:val="24"/>
      <w:lang w:val="en-ZA" w:eastAsia="en-ZA"/>
    </w:rPr>
  </w:style>
  <w:style w:type="character" w:styleId="IntenseEmphasis">
    <w:name w:val="Intense Emphasis"/>
    <w:basedOn w:val="DefaultParagraphFont"/>
    <w:uiPriority w:val="21"/>
    <w:qFormat/>
    <w:rsid w:val="00B44DE9"/>
    <w:rPr>
      <w:i/>
      <w:iCs/>
      <w:color w:val="4F81BD" w:themeColor="accent1"/>
    </w:rPr>
  </w:style>
  <w:style w:type="paragraph" w:styleId="Caption">
    <w:name w:val="caption"/>
    <w:basedOn w:val="Normal"/>
    <w:next w:val="Normal"/>
    <w:uiPriority w:val="35"/>
    <w:unhideWhenUsed/>
    <w:qFormat/>
    <w:rsid w:val="00B44DE9"/>
    <w:pPr>
      <w:spacing w:line="240" w:lineRule="auto"/>
    </w:pPr>
    <w:rPr>
      <w:i/>
      <w:iCs/>
      <w:color w:val="1F497D" w:themeColor="text2"/>
      <w:sz w:val="18"/>
      <w:szCs w:val="18"/>
      <w:lang w:val="en-ZA" w:eastAsia="en-ZA"/>
    </w:rPr>
  </w:style>
  <w:style w:type="table" w:styleId="TableGrid">
    <w:name w:val="Table Grid"/>
    <w:basedOn w:val="TableNormal"/>
    <w:uiPriority w:val="59"/>
    <w:rsid w:val="00B44DE9"/>
    <w:pPr>
      <w:spacing w:after="0" w:line="240" w:lineRule="auto"/>
    </w:pPr>
    <w:rPr>
      <w:rFonts w:eastAsiaTheme="minorHAnsi"/>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933ED"/>
    <w:rPr>
      <w:rFonts w:ascii="Arial Narrow" w:eastAsiaTheme="majorEastAsia" w:hAnsi="Arial Narrow" w:cstheme="majorBidi"/>
      <w:b/>
      <w:sz w:val="24"/>
      <w:szCs w:val="32"/>
    </w:rPr>
  </w:style>
  <w:style w:type="character" w:customStyle="1" w:styleId="Heading2Char">
    <w:name w:val="Heading 2 Char"/>
    <w:basedOn w:val="DefaultParagraphFont"/>
    <w:link w:val="Heading2"/>
    <w:uiPriority w:val="9"/>
    <w:rsid w:val="00BA63AD"/>
    <w:rPr>
      <w:rFonts w:ascii="Arial Narrow" w:eastAsiaTheme="majorEastAsia" w:hAnsi="Arial Narrow" w:cstheme="majorBidi"/>
      <w:b/>
      <w:sz w:val="24"/>
      <w:szCs w:val="26"/>
    </w:rPr>
  </w:style>
  <w:style w:type="character" w:customStyle="1" w:styleId="Heading4Char">
    <w:name w:val="Heading 4 Char"/>
    <w:basedOn w:val="DefaultParagraphFont"/>
    <w:link w:val="Heading4"/>
    <w:uiPriority w:val="9"/>
    <w:rsid w:val="001933ED"/>
    <w:rPr>
      <w:rFonts w:ascii="Arial Narrow" w:eastAsiaTheme="majorEastAsia" w:hAnsi="Arial Narrow" w:cstheme="majorBidi"/>
      <w:i/>
      <w:iCs/>
      <w:sz w:val="24"/>
    </w:rPr>
  </w:style>
  <w:style w:type="character" w:styleId="CommentReference">
    <w:name w:val="annotation reference"/>
    <w:basedOn w:val="DefaultParagraphFont"/>
    <w:uiPriority w:val="99"/>
    <w:semiHidden/>
    <w:unhideWhenUsed/>
    <w:rsid w:val="000E42FB"/>
    <w:rPr>
      <w:sz w:val="16"/>
      <w:szCs w:val="16"/>
    </w:rPr>
  </w:style>
  <w:style w:type="paragraph" w:styleId="CommentText">
    <w:name w:val="annotation text"/>
    <w:basedOn w:val="Normal"/>
    <w:link w:val="CommentTextChar"/>
    <w:uiPriority w:val="99"/>
    <w:semiHidden/>
    <w:unhideWhenUsed/>
    <w:rsid w:val="000E42FB"/>
    <w:pPr>
      <w:spacing w:line="240" w:lineRule="auto"/>
    </w:pPr>
    <w:rPr>
      <w:sz w:val="20"/>
      <w:szCs w:val="20"/>
    </w:rPr>
  </w:style>
  <w:style w:type="character" w:customStyle="1" w:styleId="CommentTextChar">
    <w:name w:val="Comment Text Char"/>
    <w:basedOn w:val="DefaultParagraphFont"/>
    <w:link w:val="CommentText"/>
    <w:uiPriority w:val="99"/>
    <w:semiHidden/>
    <w:rsid w:val="000E42FB"/>
    <w:rPr>
      <w:rFonts w:ascii="Arial Narrow" w:hAnsi="Arial Narrow"/>
      <w:sz w:val="20"/>
      <w:szCs w:val="20"/>
    </w:rPr>
  </w:style>
  <w:style w:type="paragraph" w:styleId="CommentSubject">
    <w:name w:val="annotation subject"/>
    <w:basedOn w:val="CommentText"/>
    <w:next w:val="CommentText"/>
    <w:link w:val="CommentSubjectChar"/>
    <w:uiPriority w:val="99"/>
    <w:semiHidden/>
    <w:unhideWhenUsed/>
    <w:rsid w:val="000E42FB"/>
    <w:rPr>
      <w:b/>
      <w:bCs/>
    </w:rPr>
  </w:style>
  <w:style w:type="character" w:customStyle="1" w:styleId="CommentSubjectChar">
    <w:name w:val="Comment Subject Char"/>
    <w:basedOn w:val="CommentTextChar"/>
    <w:link w:val="CommentSubject"/>
    <w:uiPriority w:val="99"/>
    <w:semiHidden/>
    <w:rsid w:val="000E42FB"/>
    <w:rPr>
      <w:rFonts w:ascii="Arial Narrow" w:hAnsi="Arial Narrow"/>
      <w:b/>
      <w:bCs/>
      <w:sz w:val="20"/>
      <w:szCs w:val="20"/>
    </w:rPr>
  </w:style>
  <w:style w:type="character" w:customStyle="1" w:styleId="Heading5Char">
    <w:name w:val="Heading 5 Char"/>
    <w:basedOn w:val="DefaultParagraphFont"/>
    <w:link w:val="Heading5"/>
    <w:uiPriority w:val="9"/>
    <w:semiHidden/>
    <w:rsid w:val="00877CB7"/>
    <w:rPr>
      <w:rFonts w:asciiTheme="majorHAnsi" w:eastAsiaTheme="majorEastAsia" w:hAnsiTheme="majorHAnsi" w:cstheme="majorBidi"/>
      <w:color w:val="243F60" w:themeColor="accent1" w:themeShade="7F"/>
      <w:sz w:val="24"/>
    </w:rPr>
  </w:style>
  <w:style w:type="paragraph" w:styleId="Revision">
    <w:name w:val="Revision"/>
    <w:hidden/>
    <w:uiPriority w:val="99"/>
    <w:semiHidden/>
    <w:rsid w:val="00863348"/>
    <w:pPr>
      <w:spacing w:after="0" w:line="240" w:lineRule="auto"/>
    </w:pPr>
    <w:rPr>
      <w:rFonts w:ascii="Arial Narrow" w:hAnsi="Arial Narrow"/>
      <w:sz w:val="24"/>
    </w:rPr>
  </w:style>
  <w:style w:type="table" w:styleId="LightGrid-Accent1">
    <w:name w:val="Light Grid Accent 1"/>
    <w:basedOn w:val="TableNormal"/>
    <w:uiPriority w:val="62"/>
    <w:rsid w:val="003B2FEA"/>
    <w:pPr>
      <w:spacing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dTable4-Accent61">
    <w:name w:val="Grid Table 4 - Accent 61"/>
    <w:basedOn w:val="TableNormal"/>
    <w:uiPriority w:val="49"/>
    <w:rsid w:val="00C818BC"/>
    <w:pPr>
      <w:spacing w:after="0" w:line="240" w:lineRule="auto"/>
    </w:pPr>
    <w:rPr>
      <w:rFonts w:eastAsiaTheme="minorHAnsi"/>
      <w:lang w:val="en-ZA"/>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enu-201">
    <w:name w:val="menu-201"/>
    <w:basedOn w:val="Normal"/>
    <w:rsid w:val="001234F4"/>
    <w:pPr>
      <w:spacing w:before="100" w:beforeAutospacing="1" w:after="100" w:afterAutospacing="1" w:line="240" w:lineRule="auto"/>
      <w:jc w:val="left"/>
    </w:pPr>
    <w:rPr>
      <w:rFonts w:ascii="Times New Roman" w:eastAsia="Times New Roman" w:hAnsi="Times New Roman" w:cs="Times New Roman"/>
      <w:szCs w:val="24"/>
      <w:lang w:val="en-ZA" w:eastAsia="en-ZA"/>
    </w:rPr>
  </w:style>
  <w:style w:type="paragraph" w:customStyle="1" w:styleId="menu-202">
    <w:name w:val="menu-202"/>
    <w:basedOn w:val="Normal"/>
    <w:rsid w:val="001234F4"/>
    <w:pPr>
      <w:spacing w:before="100" w:beforeAutospacing="1" w:after="100" w:afterAutospacing="1" w:line="240" w:lineRule="auto"/>
      <w:jc w:val="left"/>
    </w:pPr>
    <w:rPr>
      <w:rFonts w:ascii="Times New Roman" w:eastAsia="Times New Roman" w:hAnsi="Times New Roman" w:cs="Times New Roman"/>
      <w:szCs w:val="24"/>
      <w:lang w:val="en-ZA" w:eastAsia="en-ZA"/>
    </w:rPr>
  </w:style>
  <w:style w:type="paragraph" w:customStyle="1" w:styleId="menu-307">
    <w:name w:val="menu-307"/>
    <w:basedOn w:val="Normal"/>
    <w:rsid w:val="001234F4"/>
    <w:pPr>
      <w:spacing w:before="100" w:beforeAutospacing="1" w:after="100" w:afterAutospacing="1" w:line="240" w:lineRule="auto"/>
      <w:jc w:val="left"/>
    </w:pPr>
    <w:rPr>
      <w:rFonts w:ascii="Times New Roman" w:eastAsia="Times New Roman" w:hAnsi="Times New Roman" w:cs="Times New Roman"/>
      <w:szCs w:val="24"/>
      <w:lang w:val="en-ZA" w:eastAsia="en-ZA"/>
    </w:rPr>
  </w:style>
  <w:style w:type="paragraph" w:customStyle="1" w:styleId="menu-213">
    <w:name w:val="menu-213"/>
    <w:basedOn w:val="Normal"/>
    <w:rsid w:val="001234F4"/>
    <w:pPr>
      <w:spacing w:before="100" w:beforeAutospacing="1" w:after="100" w:afterAutospacing="1" w:line="240" w:lineRule="auto"/>
      <w:jc w:val="left"/>
    </w:pPr>
    <w:rPr>
      <w:rFonts w:ascii="Times New Roman" w:eastAsia="Times New Roman" w:hAnsi="Times New Roman" w:cs="Times New Roman"/>
      <w:szCs w:val="24"/>
      <w:lang w:val="en-ZA" w:eastAsia="en-ZA"/>
    </w:rPr>
  </w:style>
  <w:style w:type="paragraph" w:customStyle="1" w:styleId="menu-214">
    <w:name w:val="menu-214"/>
    <w:basedOn w:val="Normal"/>
    <w:rsid w:val="001234F4"/>
    <w:pPr>
      <w:spacing w:before="100" w:beforeAutospacing="1" w:after="100" w:afterAutospacing="1" w:line="240" w:lineRule="auto"/>
      <w:jc w:val="left"/>
    </w:pPr>
    <w:rPr>
      <w:rFonts w:ascii="Times New Roman" w:eastAsia="Times New Roman" w:hAnsi="Times New Roman" w:cs="Times New Roman"/>
      <w:szCs w:val="24"/>
      <w:lang w:val="en-ZA" w:eastAsia="en-ZA"/>
    </w:rPr>
  </w:style>
  <w:style w:type="character" w:customStyle="1" w:styleId="Heading6Char">
    <w:name w:val="Heading 6 Char"/>
    <w:basedOn w:val="DefaultParagraphFont"/>
    <w:link w:val="Heading6"/>
    <w:uiPriority w:val="9"/>
    <w:semiHidden/>
    <w:rsid w:val="001C47BE"/>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1C47BE"/>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1C47B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C47BE"/>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BA6E48"/>
    <w:pPr>
      <w:spacing w:after="100"/>
    </w:pPr>
  </w:style>
  <w:style w:type="paragraph" w:styleId="TOC2">
    <w:name w:val="toc 2"/>
    <w:basedOn w:val="Normal"/>
    <w:next w:val="Normal"/>
    <w:autoRedefine/>
    <w:uiPriority w:val="39"/>
    <w:unhideWhenUsed/>
    <w:rsid w:val="00BA6E48"/>
    <w:pPr>
      <w:spacing w:after="100"/>
      <w:ind w:left="240"/>
    </w:pPr>
  </w:style>
  <w:style w:type="paragraph" w:styleId="TOC3">
    <w:name w:val="toc 3"/>
    <w:basedOn w:val="Normal"/>
    <w:next w:val="Normal"/>
    <w:autoRedefine/>
    <w:uiPriority w:val="39"/>
    <w:unhideWhenUsed/>
    <w:rsid w:val="00BA6E48"/>
    <w:pPr>
      <w:spacing w:after="100"/>
      <w:ind w:left="480"/>
    </w:pPr>
  </w:style>
  <w:style w:type="character" w:styleId="Strong">
    <w:name w:val="Strong"/>
    <w:basedOn w:val="DefaultParagraphFont"/>
    <w:uiPriority w:val="22"/>
    <w:qFormat/>
    <w:rsid w:val="00941CFC"/>
    <w:rPr>
      <w:b/>
      <w:bCs/>
    </w:rPr>
  </w:style>
  <w:style w:type="table" w:customStyle="1" w:styleId="GridTable4Accent1">
    <w:name w:val="Grid Table 4 Accent 1"/>
    <w:basedOn w:val="TableNormal"/>
    <w:uiPriority w:val="49"/>
    <w:rsid w:val="007D56CB"/>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029"/>
    <w:pPr>
      <w:jc w:val="both"/>
    </w:pPr>
    <w:rPr>
      <w:rFonts w:ascii="Arial Narrow" w:hAnsi="Arial Narrow"/>
      <w:sz w:val="24"/>
    </w:rPr>
  </w:style>
  <w:style w:type="paragraph" w:styleId="Heading1">
    <w:name w:val="heading 1"/>
    <w:basedOn w:val="Normal"/>
    <w:next w:val="Normal"/>
    <w:link w:val="Heading1Char"/>
    <w:uiPriority w:val="9"/>
    <w:qFormat/>
    <w:rsid w:val="001933ED"/>
    <w:pPr>
      <w:keepNext/>
      <w:keepLines/>
      <w:numPr>
        <w:numId w:val="6"/>
      </w:numPr>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BA63AD"/>
    <w:pPr>
      <w:keepNext/>
      <w:keepLines/>
      <w:numPr>
        <w:ilvl w:val="1"/>
        <w:numId w:val="6"/>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933ED"/>
    <w:pPr>
      <w:keepNext/>
      <w:keepLines/>
      <w:numPr>
        <w:ilvl w:val="2"/>
        <w:numId w:val="6"/>
      </w:numPr>
      <w:spacing w:before="200" w:after="0"/>
      <w:outlineLvl w:val="2"/>
    </w:pPr>
    <w:rPr>
      <w:rFonts w:eastAsiaTheme="majorEastAsia" w:cstheme="majorBidi"/>
      <w:b/>
      <w:bCs/>
      <w:lang w:val="en-ZA" w:eastAsia="en-ZA"/>
    </w:rPr>
  </w:style>
  <w:style w:type="paragraph" w:styleId="Heading4">
    <w:name w:val="heading 4"/>
    <w:basedOn w:val="Normal"/>
    <w:next w:val="Normal"/>
    <w:link w:val="Heading4Char"/>
    <w:uiPriority w:val="9"/>
    <w:unhideWhenUsed/>
    <w:qFormat/>
    <w:rsid w:val="001933ED"/>
    <w:pPr>
      <w:keepNext/>
      <w:keepLines/>
      <w:numPr>
        <w:ilvl w:val="3"/>
        <w:numId w:val="6"/>
      </w:numPr>
      <w:spacing w:before="40" w:after="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877CB7"/>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C47BE"/>
    <w:pPr>
      <w:keepNext/>
      <w:keepLines/>
      <w:numPr>
        <w:ilvl w:val="5"/>
        <w:numId w:val="6"/>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C47BE"/>
    <w:pPr>
      <w:keepNext/>
      <w:keepLines/>
      <w:numPr>
        <w:ilvl w:val="6"/>
        <w:numId w:val="6"/>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C47BE"/>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C47BE"/>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 Paragraph,References,List Paragraph 1,List Paragraph11,Bullets,• List Paragraph,Numbered List Paragraph,ReferencesCxSpLast,List Paragraph (numbered (a)),List Paragraph nowy,Liste 1,Bullet,Heading 2_sj,Bullit,Lettre d'introduction,3"/>
    <w:basedOn w:val="Normal"/>
    <w:link w:val="ListParagraphChar"/>
    <w:uiPriority w:val="34"/>
    <w:qFormat/>
    <w:rsid w:val="00102C53"/>
    <w:pPr>
      <w:ind w:left="720"/>
      <w:contextualSpacing/>
    </w:pPr>
  </w:style>
  <w:style w:type="paragraph" w:styleId="Header">
    <w:name w:val="header"/>
    <w:basedOn w:val="Normal"/>
    <w:link w:val="HeaderChar"/>
    <w:uiPriority w:val="99"/>
    <w:unhideWhenUsed/>
    <w:rsid w:val="00B359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93F"/>
  </w:style>
  <w:style w:type="paragraph" w:styleId="Footer">
    <w:name w:val="footer"/>
    <w:basedOn w:val="Normal"/>
    <w:link w:val="FooterChar"/>
    <w:uiPriority w:val="99"/>
    <w:unhideWhenUsed/>
    <w:rsid w:val="00B359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93F"/>
  </w:style>
  <w:style w:type="paragraph" w:styleId="BalloonText">
    <w:name w:val="Balloon Text"/>
    <w:basedOn w:val="Normal"/>
    <w:link w:val="BalloonTextChar"/>
    <w:uiPriority w:val="99"/>
    <w:semiHidden/>
    <w:unhideWhenUsed/>
    <w:rsid w:val="006C4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32D"/>
    <w:rPr>
      <w:rFonts w:ascii="Tahoma" w:hAnsi="Tahoma" w:cs="Tahoma"/>
      <w:sz w:val="16"/>
      <w:szCs w:val="16"/>
    </w:rPr>
  </w:style>
  <w:style w:type="paragraph" w:customStyle="1" w:styleId="Default">
    <w:name w:val="Default"/>
    <w:rsid w:val="00760298"/>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FootnoteTextChar">
    <w:name w:val="Footnote Text Char"/>
    <w:aliases w:val="Footnote Text Char Char Char Char,Footnote Text Char Char Char1,Footnote Text Char Char Char Char Char Char Char Char Char Char,Footnote Text Char Char Char Char Char Char Char Char Char Char Char C Char,Char Char Char Char Char"/>
    <w:basedOn w:val="DefaultParagraphFont"/>
    <w:link w:val="FootnoteText"/>
    <w:uiPriority w:val="99"/>
    <w:locked/>
    <w:rsid w:val="00F11431"/>
    <w:rPr>
      <w:rFonts w:ascii="Calibri" w:eastAsia="Calibri" w:hAnsi="Calibri" w:cs="Times New Roman"/>
      <w:sz w:val="20"/>
      <w:szCs w:val="20"/>
      <w:lang w:val="en-ZA"/>
    </w:rPr>
  </w:style>
  <w:style w:type="paragraph" w:styleId="FootnoteText">
    <w:name w:val="footnote text"/>
    <w:aliases w:val="Footnote Text Char Char Char,Footnote Text Char Char,Footnote Text Char Char Char Char Char Char Char Char Char,Footnote Text Char Char Char Char Char Char Char Char Char Char Char C,Char Char Char Char,Char Char Char Char Char Char Char"/>
    <w:basedOn w:val="Normal"/>
    <w:link w:val="FootnoteTextChar"/>
    <w:uiPriority w:val="99"/>
    <w:unhideWhenUsed/>
    <w:qFormat/>
    <w:rsid w:val="00F11431"/>
    <w:pPr>
      <w:spacing w:after="0" w:line="240" w:lineRule="auto"/>
    </w:pPr>
    <w:rPr>
      <w:rFonts w:ascii="Calibri" w:eastAsia="Calibri" w:hAnsi="Calibri" w:cs="Times New Roman"/>
      <w:sz w:val="20"/>
      <w:szCs w:val="20"/>
      <w:lang w:val="en-ZA"/>
    </w:rPr>
  </w:style>
  <w:style w:type="character" w:customStyle="1" w:styleId="FootnoteTextChar1">
    <w:name w:val="Footnote Text Char1"/>
    <w:basedOn w:val="DefaultParagraphFont"/>
    <w:uiPriority w:val="99"/>
    <w:semiHidden/>
    <w:rsid w:val="00F11431"/>
    <w:rPr>
      <w:sz w:val="20"/>
      <w:szCs w:val="20"/>
    </w:rPr>
  </w:style>
  <w:style w:type="character" w:styleId="FootnoteReference">
    <w:name w:val="footnote reference"/>
    <w:aliases w:val="Знак сноски-FN,16 Point,Superscript 6 Point,Footnote Reference Superscript,Footnote symbol,ftref,???? ??????-FN,Footnote Reference Number,Footnote Reference_LVL6,Footnote Reference_LVL61,Footnote Reference_LVL62,Footnote Reference_LVL"/>
    <w:basedOn w:val="DefaultParagraphFont"/>
    <w:uiPriority w:val="99"/>
    <w:unhideWhenUsed/>
    <w:rsid w:val="00F11431"/>
    <w:rPr>
      <w:vertAlign w:val="superscript"/>
    </w:rPr>
  </w:style>
  <w:style w:type="character" w:styleId="Hyperlink">
    <w:name w:val="Hyperlink"/>
    <w:basedOn w:val="DefaultParagraphFont"/>
    <w:uiPriority w:val="99"/>
    <w:unhideWhenUsed/>
    <w:rsid w:val="00940B95"/>
    <w:rPr>
      <w:b w:val="0"/>
      <w:bCs w:val="0"/>
      <w:strike w:val="0"/>
      <w:dstrike w:val="0"/>
      <w:color w:val="0066CC"/>
      <w:u w:val="none"/>
      <w:effect w:val="none"/>
    </w:rPr>
  </w:style>
  <w:style w:type="paragraph" w:styleId="NormalWeb">
    <w:name w:val="Normal (Web)"/>
    <w:basedOn w:val="Normal"/>
    <w:uiPriority w:val="99"/>
    <w:unhideWhenUsed/>
    <w:rsid w:val="00940B95"/>
    <w:pPr>
      <w:spacing w:before="168" w:after="168" w:line="240" w:lineRule="auto"/>
    </w:pPr>
    <w:rPr>
      <w:rFonts w:ascii="Times New Roman" w:eastAsia="Times New Roman" w:hAnsi="Times New Roman" w:cs="Times New Roman"/>
      <w:szCs w:val="24"/>
      <w:lang w:val="en-ZA" w:eastAsia="en-ZA"/>
    </w:rPr>
  </w:style>
  <w:style w:type="character" w:customStyle="1" w:styleId="ListParagraphChar">
    <w:name w:val="List Paragraph Char"/>
    <w:aliases w:val="Indent Paragraph Char,References Char,List Paragraph 1 Char,List Paragraph11 Char,Bullets Char,• List Paragraph Char,Numbered List Paragraph Char,ReferencesCxSpLast Char,List Paragraph (numbered (a)) Char,List Paragraph nowy Char"/>
    <w:link w:val="ListParagraph"/>
    <w:uiPriority w:val="34"/>
    <w:locked/>
    <w:rsid w:val="00D32257"/>
  </w:style>
  <w:style w:type="character" w:customStyle="1" w:styleId="Heading3Char">
    <w:name w:val="Heading 3 Char"/>
    <w:basedOn w:val="DefaultParagraphFont"/>
    <w:link w:val="Heading3"/>
    <w:uiPriority w:val="9"/>
    <w:rsid w:val="001933ED"/>
    <w:rPr>
      <w:rFonts w:ascii="Arial Narrow" w:eastAsiaTheme="majorEastAsia" w:hAnsi="Arial Narrow" w:cstheme="majorBidi"/>
      <w:b/>
      <w:bCs/>
      <w:sz w:val="24"/>
      <w:lang w:val="en-ZA" w:eastAsia="en-ZA"/>
    </w:rPr>
  </w:style>
  <w:style w:type="character" w:styleId="IntenseEmphasis">
    <w:name w:val="Intense Emphasis"/>
    <w:basedOn w:val="DefaultParagraphFont"/>
    <w:uiPriority w:val="21"/>
    <w:qFormat/>
    <w:rsid w:val="00B44DE9"/>
    <w:rPr>
      <w:i/>
      <w:iCs/>
      <w:color w:val="4F81BD" w:themeColor="accent1"/>
    </w:rPr>
  </w:style>
  <w:style w:type="paragraph" w:styleId="Caption">
    <w:name w:val="caption"/>
    <w:basedOn w:val="Normal"/>
    <w:next w:val="Normal"/>
    <w:uiPriority w:val="35"/>
    <w:unhideWhenUsed/>
    <w:qFormat/>
    <w:rsid w:val="00B44DE9"/>
    <w:pPr>
      <w:spacing w:line="240" w:lineRule="auto"/>
    </w:pPr>
    <w:rPr>
      <w:i/>
      <w:iCs/>
      <w:color w:val="1F497D" w:themeColor="text2"/>
      <w:sz w:val="18"/>
      <w:szCs w:val="18"/>
      <w:lang w:val="en-ZA" w:eastAsia="en-ZA"/>
    </w:rPr>
  </w:style>
  <w:style w:type="table" w:styleId="TableGrid">
    <w:name w:val="Table Grid"/>
    <w:basedOn w:val="TableNormal"/>
    <w:uiPriority w:val="59"/>
    <w:rsid w:val="00B44DE9"/>
    <w:pPr>
      <w:spacing w:after="0" w:line="240" w:lineRule="auto"/>
    </w:pPr>
    <w:rPr>
      <w:rFonts w:eastAsiaTheme="minorHAnsi"/>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933ED"/>
    <w:rPr>
      <w:rFonts w:ascii="Arial Narrow" w:eastAsiaTheme="majorEastAsia" w:hAnsi="Arial Narrow" w:cstheme="majorBidi"/>
      <w:b/>
      <w:sz w:val="24"/>
      <w:szCs w:val="32"/>
    </w:rPr>
  </w:style>
  <w:style w:type="character" w:customStyle="1" w:styleId="Heading2Char">
    <w:name w:val="Heading 2 Char"/>
    <w:basedOn w:val="DefaultParagraphFont"/>
    <w:link w:val="Heading2"/>
    <w:uiPriority w:val="9"/>
    <w:rsid w:val="00BA63AD"/>
    <w:rPr>
      <w:rFonts w:ascii="Arial Narrow" w:eastAsiaTheme="majorEastAsia" w:hAnsi="Arial Narrow" w:cstheme="majorBidi"/>
      <w:b/>
      <w:sz w:val="24"/>
      <w:szCs w:val="26"/>
    </w:rPr>
  </w:style>
  <w:style w:type="character" w:customStyle="1" w:styleId="Heading4Char">
    <w:name w:val="Heading 4 Char"/>
    <w:basedOn w:val="DefaultParagraphFont"/>
    <w:link w:val="Heading4"/>
    <w:uiPriority w:val="9"/>
    <w:rsid w:val="001933ED"/>
    <w:rPr>
      <w:rFonts w:ascii="Arial Narrow" w:eastAsiaTheme="majorEastAsia" w:hAnsi="Arial Narrow" w:cstheme="majorBidi"/>
      <w:i/>
      <w:iCs/>
      <w:sz w:val="24"/>
    </w:rPr>
  </w:style>
  <w:style w:type="character" w:styleId="CommentReference">
    <w:name w:val="annotation reference"/>
    <w:basedOn w:val="DefaultParagraphFont"/>
    <w:uiPriority w:val="99"/>
    <w:semiHidden/>
    <w:unhideWhenUsed/>
    <w:rsid w:val="000E42FB"/>
    <w:rPr>
      <w:sz w:val="16"/>
      <w:szCs w:val="16"/>
    </w:rPr>
  </w:style>
  <w:style w:type="paragraph" w:styleId="CommentText">
    <w:name w:val="annotation text"/>
    <w:basedOn w:val="Normal"/>
    <w:link w:val="CommentTextChar"/>
    <w:uiPriority w:val="99"/>
    <w:semiHidden/>
    <w:unhideWhenUsed/>
    <w:rsid w:val="000E42FB"/>
    <w:pPr>
      <w:spacing w:line="240" w:lineRule="auto"/>
    </w:pPr>
    <w:rPr>
      <w:sz w:val="20"/>
      <w:szCs w:val="20"/>
    </w:rPr>
  </w:style>
  <w:style w:type="character" w:customStyle="1" w:styleId="CommentTextChar">
    <w:name w:val="Comment Text Char"/>
    <w:basedOn w:val="DefaultParagraphFont"/>
    <w:link w:val="CommentText"/>
    <w:uiPriority w:val="99"/>
    <w:semiHidden/>
    <w:rsid w:val="000E42FB"/>
    <w:rPr>
      <w:rFonts w:ascii="Arial Narrow" w:hAnsi="Arial Narrow"/>
      <w:sz w:val="20"/>
      <w:szCs w:val="20"/>
    </w:rPr>
  </w:style>
  <w:style w:type="paragraph" w:styleId="CommentSubject">
    <w:name w:val="annotation subject"/>
    <w:basedOn w:val="CommentText"/>
    <w:next w:val="CommentText"/>
    <w:link w:val="CommentSubjectChar"/>
    <w:uiPriority w:val="99"/>
    <w:semiHidden/>
    <w:unhideWhenUsed/>
    <w:rsid w:val="000E42FB"/>
    <w:rPr>
      <w:b/>
      <w:bCs/>
    </w:rPr>
  </w:style>
  <w:style w:type="character" w:customStyle="1" w:styleId="CommentSubjectChar">
    <w:name w:val="Comment Subject Char"/>
    <w:basedOn w:val="CommentTextChar"/>
    <w:link w:val="CommentSubject"/>
    <w:uiPriority w:val="99"/>
    <w:semiHidden/>
    <w:rsid w:val="000E42FB"/>
    <w:rPr>
      <w:rFonts w:ascii="Arial Narrow" w:hAnsi="Arial Narrow"/>
      <w:b/>
      <w:bCs/>
      <w:sz w:val="20"/>
      <w:szCs w:val="20"/>
    </w:rPr>
  </w:style>
  <w:style w:type="character" w:customStyle="1" w:styleId="Heading5Char">
    <w:name w:val="Heading 5 Char"/>
    <w:basedOn w:val="DefaultParagraphFont"/>
    <w:link w:val="Heading5"/>
    <w:uiPriority w:val="9"/>
    <w:semiHidden/>
    <w:rsid w:val="00877CB7"/>
    <w:rPr>
      <w:rFonts w:asciiTheme="majorHAnsi" w:eastAsiaTheme="majorEastAsia" w:hAnsiTheme="majorHAnsi" w:cstheme="majorBidi"/>
      <w:color w:val="243F60" w:themeColor="accent1" w:themeShade="7F"/>
      <w:sz w:val="24"/>
    </w:rPr>
  </w:style>
  <w:style w:type="paragraph" w:styleId="Revision">
    <w:name w:val="Revision"/>
    <w:hidden/>
    <w:uiPriority w:val="99"/>
    <w:semiHidden/>
    <w:rsid w:val="00863348"/>
    <w:pPr>
      <w:spacing w:after="0" w:line="240" w:lineRule="auto"/>
    </w:pPr>
    <w:rPr>
      <w:rFonts w:ascii="Arial Narrow" w:hAnsi="Arial Narrow"/>
      <w:sz w:val="24"/>
    </w:rPr>
  </w:style>
  <w:style w:type="table" w:styleId="LightGrid-Accent1">
    <w:name w:val="Light Grid Accent 1"/>
    <w:basedOn w:val="TableNormal"/>
    <w:uiPriority w:val="62"/>
    <w:rsid w:val="003B2FEA"/>
    <w:pPr>
      <w:spacing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dTable4-Accent61">
    <w:name w:val="Grid Table 4 - Accent 61"/>
    <w:basedOn w:val="TableNormal"/>
    <w:uiPriority w:val="49"/>
    <w:rsid w:val="00C818BC"/>
    <w:pPr>
      <w:spacing w:after="0" w:line="240" w:lineRule="auto"/>
    </w:pPr>
    <w:rPr>
      <w:rFonts w:eastAsiaTheme="minorHAnsi"/>
      <w:lang w:val="en-ZA"/>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enu-201">
    <w:name w:val="menu-201"/>
    <w:basedOn w:val="Normal"/>
    <w:rsid w:val="001234F4"/>
    <w:pPr>
      <w:spacing w:before="100" w:beforeAutospacing="1" w:after="100" w:afterAutospacing="1" w:line="240" w:lineRule="auto"/>
      <w:jc w:val="left"/>
    </w:pPr>
    <w:rPr>
      <w:rFonts w:ascii="Times New Roman" w:eastAsia="Times New Roman" w:hAnsi="Times New Roman" w:cs="Times New Roman"/>
      <w:szCs w:val="24"/>
      <w:lang w:val="en-ZA" w:eastAsia="en-ZA"/>
    </w:rPr>
  </w:style>
  <w:style w:type="paragraph" w:customStyle="1" w:styleId="menu-202">
    <w:name w:val="menu-202"/>
    <w:basedOn w:val="Normal"/>
    <w:rsid w:val="001234F4"/>
    <w:pPr>
      <w:spacing w:before="100" w:beforeAutospacing="1" w:after="100" w:afterAutospacing="1" w:line="240" w:lineRule="auto"/>
      <w:jc w:val="left"/>
    </w:pPr>
    <w:rPr>
      <w:rFonts w:ascii="Times New Roman" w:eastAsia="Times New Roman" w:hAnsi="Times New Roman" w:cs="Times New Roman"/>
      <w:szCs w:val="24"/>
      <w:lang w:val="en-ZA" w:eastAsia="en-ZA"/>
    </w:rPr>
  </w:style>
  <w:style w:type="paragraph" w:customStyle="1" w:styleId="menu-307">
    <w:name w:val="menu-307"/>
    <w:basedOn w:val="Normal"/>
    <w:rsid w:val="001234F4"/>
    <w:pPr>
      <w:spacing w:before="100" w:beforeAutospacing="1" w:after="100" w:afterAutospacing="1" w:line="240" w:lineRule="auto"/>
      <w:jc w:val="left"/>
    </w:pPr>
    <w:rPr>
      <w:rFonts w:ascii="Times New Roman" w:eastAsia="Times New Roman" w:hAnsi="Times New Roman" w:cs="Times New Roman"/>
      <w:szCs w:val="24"/>
      <w:lang w:val="en-ZA" w:eastAsia="en-ZA"/>
    </w:rPr>
  </w:style>
  <w:style w:type="paragraph" w:customStyle="1" w:styleId="menu-213">
    <w:name w:val="menu-213"/>
    <w:basedOn w:val="Normal"/>
    <w:rsid w:val="001234F4"/>
    <w:pPr>
      <w:spacing w:before="100" w:beforeAutospacing="1" w:after="100" w:afterAutospacing="1" w:line="240" w:lineRule="auto"/>
      <w:jc w:val="left"/>
    </w:pPr>
    <w:rPr>
      <w:rFonts w:ascii="Times New Roman" w:eastAsia="Times New Roman" w:hAnsi="Times New Roman" w:cs="Times New Roman"/>
      <w:szCs w:val="24"/>
      <w:lang w:val="en-ZA" w:eastAsia="en-ZA"/>
    </w:rPr>
  </w:style>
  <w:style w:type="paragraph" w:customStyle="1" w:styleId="menu-214">
    <w:name w:val="menu-214"/>
    <w:basedOn w:val="Normal"/>
    <w:rsid w:val="001234F4"/>
    <w:pPr>
      <w:spacing w:before="100" w:beforeAutospacing="1" w:after="100" w:afterAutospacing="1" w:line="240" w:lineRule="auto"/>
      <w:jc w:val="left"/>
    </w:pPr>
    <w:rPr>
      <w:rFonts w:ascii="Times New Roman" w:eastAsia="Times New Roman" w:hAnsi="Times New Roman" w:cs="Times New Roman"/>
      <w:szCs w:val="24"/>
      <w:lang w:val="en-ZA" w:eastAsia="en-ZA"/>
    </w:rPr>
  </w:style>
  <w:style w:type="character" w:customStyle="1" w:styleId="Heading6Char">
    <w:name w:val="Heading 6 Char"/>
    <w:basedOn w:val="DefaultParagraphFont"/>
    <w:link w:val="Heading6"/>
    <w:uiPriority w:val="9"/>
    <w:semiHidden/>
    <w:rsid w:val="001C47BE"/>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1C47BE"/>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1C47B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C47BE"/>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BA6E48"/>
    <w:pPr>
      <w:spacing w:after="100"/>
    </w:pPr>
  </w:style>
  <w:style w:type="paragraph" w:styleId="TOC2">
    <w:name w:val="toc 2"/>
    <w:basedOn w:val="Normal"/>
    <w:next w:val="Normal"/>
    <w:autoRedefine/>
    <w:uiPriority w:val="39"/>
    <w:unhideWhenUsed/>
    <w:rsid w:val="00BA6E48"/>
    <w:pPr>
      <w:spacing w:after="100"/>
      <w:ind w:left="240"/>
    </w:pPr>
  </w:style>
  <w:style w:type="paragraph" w:styleId="TOC3">
    <w:name w:val="toc 3"/>
    <w:basedOn w:val="Normal"/>
    <w:next w:val="Normal"/>
    <w:autoRedefine/>
    <w:uiPriority w:val="39"/>
    <w:unhideWhenUsed/>
    <w:rsid w:val="00BA6E48"/>
    <w:pPr>
      <w:spacing w:after="100"/>
      <w:ind w:left="480"/>
    </w:pPr>
  </w:style>
  <w:style w:type="character" w:styleId="Strong">
    <w:name w:val="Strong"/>
    <w:basedOn w:val="DefaultParagraphFont"/>
    <w:uiPriority w:val="22"/>
    <w:qFormat/>
    <w:rsid w:val="00941CFC"/>
    <w:rPr>
      <w:b/>
      <w:bCs/>
    </w:rPr>
  </w:style>
  <w:style w:type="table" w:customStyle="1" w:styleId="GridTable4Accent1">
    <w:name w:val="Grid Table 4 Accent 1"/>
    <w:basedOn w:val="TableNormal"/>
    <w:uiPriority w:val="49"/>
    <w:rsid w:val="007D56CB"/>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04974">
      <w:bodyDiv w:val="1"/>
      <w:marLeft w:val="0"/>
      <w:marRight w:val="0"/>
      <w:marTop w:val="0"/>
      <w:marBottom w:val="0"/>
      <w:divBdr>
        <w:top w:val="none" w:sz="0" w:space="0" w:color="auto"/>
        <w:left w:val="none" w:sz="0" w:space="0" w:color="auto"/>
        <w:bottom w:val="none" w:sz="0" w:space="0" w:color="auto"/>
        <w:right w:val="none" w:sz="0" w:space="0" w:color="auto"/>
      </w:divBdr>
    </w:div>
    <w:div w:id="198901964">
      <w:bodyDiv w:val="1"/>
      <w:marLeft w:val="0"/>
      <w:marRight w:val="0"/>
      <w:marTop w:val="0"/>
      <w:marBottom w:val="0"/>
      <w:divBdr>
        <w:top w:val="none" w:sz="0" w:space="0" w:color="auto"/>
        <w:left w:val="none" w:sz="0" w:space="0" w:color="auto"/>
        <w:bottom w:val="none" w:sz="0" w:space="0" w:color="auto"/>
        <w:right w:val="none" w:sz="0" w:space="0" w:color="auto"/>
      </w:divBdr>
    </w:div>
    <w:div w:id="256332799">
      <w:bodyDiv w:val="1"/>
      <w:marLeft w:val="0"/>
      <w:marRight w:val="0"/>
      <w:marTop w:val="0"/>
      <w:marBottom w:val="0"/>
      <w:divBdr>
        <w:top w:val="none" w:sz="0" w:space="0" w:color="auto"/>
        <w:left w:val="none" w:sz="0" w:space="0" w:color="auto"/>
        <w:bottom w:val="none" w:sz="0" w:space="0" w:color="auto"/>
        <w:right w:val="none" w:sz="0" w:space="0" w:color="auto"/>
      </w:divBdr>
    </w:div>
    <w:div w:id="453212931">
      <w:bodyDiv w:val="1"/>
      <w:marLeft w:val="0"/>
      <w:marRight w:val="0"/>
      <w:marTop w:val="0"/>
      <w:marBottom w:val="0"/>
      <w:divBdr>
        <w:top w:val="none" w:sz="0" w:space="0" w:color="auto"/>
        <w:left w:val="none" w:sz="0" w:space="0" w:color="auto"/>
        <w:bottom w:val="none" w:sz="0" w:space="0" w:color="auto"/>
        <w:right w:val="none" w:sz="0" w:space="0" w:color="auto"/>
      </w:divBdr>
    </w:div>
    <w:div w:id="946350483">
      <w:bodyDiv w:val="1"/>
      <w:marLeft w:val="0"/>
      <w:marRight w:val="0"/>
      <w:marTop w:val="0"/>
      <w:marBottom w:val="0"/>
      <w:divBdr>
        <w:top w:val="none" w:sz="0" w:space="0" w:color="auto"/>
        <w:left w:val="none" w:sz="0" w:space="0" w:color="auto"/>
        <w:bottom w:val="none" w:sz="0" w:space="0" w:color="auto"/>
        <w:right w:val="none" w:sz="0" w:space="0" w:color="auto"/>
      </w:divBdr>
      <w:divsChild>
        <w:div w:id="2047872884">
          <w:marLeft w:val="1166"/>
          <w:marRight w:val="0"/>
          <w:marTop w:val="96"/>
          <w:marBottom w:val="0"/>
          <w:divBdr>
            <w:top w:val="none" w:sz="0" w:space="0" w:color="auto"/>
            <w:left w:val="none" w:sz="0" w:space="0" w:color="auto"/>
            <w:bottom w:val="none" w:sz="0" w:space="0" w:color="auto"/>
            <w:right w:val="none" w:sz="0" w:space="0" w:color="auto"/>
          </w:divBdr>
        </w:div>
        <w:div w:id="620720510">
          <w:marLeft w:val="1166"/>
          <w:marRight w:val="0"/>
          <w:marTop w:val="96"/>
          <w:marBottom w:val="0"/>
          <w:divBdr>
            <w:top w:val="none" w:sz="0" w:space="0" w:color="auto"/>
            <w:left w:val="none" w:sz="0" w:space="0" w:color="auto"/>
            <w:bottom w:val="none" w:sz="0" w:space="0" w:color="auto"/>
            <w:right w:val="none" w:sz="0" w:space="0" w:color="auto"/>
          </w:divBdr>
        </w:div>
        <w:div w:id="1428889697">
          <w:marLeft w:val="1800"/>
          <w:marRight w:val="0"/>
          <w:marTop w:val="82"/>
          <w:marBottom w:val="0"/>
          <w:divBdr>
            <w:top w:val="none" w:sz="0" w:space="0" w:color="auto"/>
            <w:left w:val="none" w:sz="0" w:space="0" w:color="auto"/>
            <w:bottom w:val="none" w:sz="0" w:space="0" w:color="auto"/>
            <w:right w:val="none" w:sz="0" w:space="0" w:color="auto"/>
          </w:divBdr>
        </w:div>
        <w:div w:id="158740331">
          <w:marLeft w:val="1800"/>
          <w:marRight w:val="0"/>
          <w:marTop w:val="82"/>
          <w:marBottom w:val="0"/>
          <w:divBdr>
            <w:top w:val="none" w:sz="0" w:space="0" w:color="auto"/>
            <w:left w:val="none" w:sz="0" w:space="0" w:color="auto"/>
            <w:bottom w:val="none" w:sz="0" w:space="0" w:color="auto"/>
            <w:right w:val="none" w:sz="0" w:space="0" w:color="auto"/>
          </w:divBdr>
        </w:div>
        <w:div w:id="861086893">
          <w:marLeft w:val="1800"/>
          <w:marRight w:val="0"/>
          <w:marTop w:val="82"/>
          <w:marBottom w:val="0"/>
          <w:divBdr>
            <w:top w:val="none" w:sz="0" w:space="0" w:color="auto"/>
            <w:left w:val="none" w:sz="0" w:space="0" w:color="auto"/>
            <w:bottom w:val="none" w:sz="0" w:space="0" w:color="auto"/>
            <w:right w:val="none" w:sz="0" w:space="0" w:color="auto"/>
          </w:divBdr>
        </w:div>
        <w:div w:id="924411759">
          <w:marLeft w:val="1166"/>
          <w:marRight w:val="0"/>
          <w:marTop w:val="96"/>
          <w:marBottom w:val="0"/>
          <w:divBdr>
            <w:top w:val="none" w:sz="0" w:space="0" w:color="auto"/>
            <w:left w:val="none" w:sz="0" w:space="0" w:color="auto"/>
            <w:bottom w:val="none" w:sz="0" w:space="0" w:color="auto"/>
            <w:right w:val="none" w:sz="0" w:space="0" w:color="auto"/>
          </w:divBdr>
        </w:div>
      </w:divsChild>
    </w:div>
    <w:div w:id="975840936">
      <w:bodyDiv w:val="1"/>
      <w:marLeft w:val="0"/>
      <w:marRight w:val="0"/>
      <w:marTop w:val="0"/>
      <w:marBottom w:val="0"/>
      <w:divBdr>
        <w:top w:val="none" w:sz="0" w:space="0" w:color="auto"/>
        <w:left w:val="none" w:sz="0" w:space="0" w:color="auto"/>
        <w:bottom w:val="none" w:sz="0" w:space="0" w:color="auto"/>
        <w:right w:val="none" w:sz="0" w:space="0" w:color="auto"/>
      </w:divBdr>
    </w:div>
    <w:div w:id="988048871">
      <w:bodyDiv w:val="1"/>
      <w:marLeft w:val="0"/>
      <w:marRight w:val="0"/>
      <w:marTop w:val="0"/>
      <w:marBottom w:val="0"/>
      <w:divBdr>
        <w:top w:val="none" w:sz="0" w:space="0" w:color="auto"/>
        <w:left w:val="none" w:sz="0" w:space="0" w:color="auto"/>
        <w:bottom w:val="none" w:sz="0" w:space="0" w:color="auto"/>
        <w:right w:val="none" w:sz="0" w:space="0" w:color="auto"/>
      </w:divBdr>
    </w:div>
    <w:div w:id="1028146101">
      <w:bodyDiv w:val="1"/>
      <w:marLeft w:val="0"/>
      <w:marRight w:val="0"/>
      <w:marTop w:val="0"/>
      <w:marBottom w:val="0"/>
      <w:divBdr>
        <w:top w:val="none" w:sz="0" w:space="0" w:color="auto"/>
        <w:left w:val="none" w:sz="0" w:space="0" w:color="auto"/>
        <w:bottom w:val="none" w:sz="0" w:space="0" w:color="auto"/>
        <w:right w:val="none" w:sz="0" w:space="0" w:color="auto"/>
      </w:divBdr>
    </w:div>
    <w:div w:id="1069419081">
      <w:bodyDiv w:val="1"/>
      <w:marLeft w:val="0"/>
      <w:marRight w:val="0"/>
      <w:marTop w:val="0"/>
      <w:marBottom w:val="0"/>
      <w:divBdr>
        <w:top w:val="none" w:sz="0" w:space="0" w:color="auto"/>
        <w:left w:val="none" w:sz="0" w:space="0" w:color="auto"/>
        <w:bottom w:val="none" w:sz="0" w:space="0" w:color="auto"/>
        <w:right w:val="none" w:sz="0" w:space="0" w:color="auto"/>
      </w:divBdr>
      <w:divsChild>
        <w:div w:id="652022870">
          <w:marLeft w:val="0"/>
          <w:marRight w:val="0"/>
          <w:marTop w:val="0"/>
          <w:marBottom w:val="225"/>
          <w:divBdr>
            <w:top w:val="single" w:sz="24" w:space="0" w:color="auto"/>
            <w:left w:val="single" w:sz="24" w:space="0" w:color="auto"/>
            <w:bottom w:val="single" w:sz="36" w:space="0" w:color="003300"/>
            <w:right w:val="single" w:sz="24" w:space="0" w:color="auto"/>
          </w:divBdr>
          <w:divsChild>
            <w:div w:id="1434015468">
              <w:marLeft w:val="0"/>
              <w:marRight w:val="0"/>
              <w:marTop w:val="0"/>
              <w:marBottom w:val="0"/>
              <w:divBdr>
                <w:top w:val="none" w:sz="0" w:space="0" w:color="auto"/>
                <w:left w:val="none" w:sz="0" w:space="0" w:color="auto"/>
                <w:bottom w:val="none" w:sz="0" w:space="0" w:color="auto"/>
                <w:right w:val="none" w:sz="0" w:space="0" w:color="auto"/>
              </w:divBdr>
            </w:div>
          </w:divsChild>
        </w:div>
        <w:div w:id="788741426">
          <w:marLeft w:val="0"/>
          <w:marRight w:val="0"/>
          <w:marTop w:val="0"/>
          <w:marBottom w:val="0"/>
          <w:divBdr>
            <w:top w:val="none" w:sz="0" w:space="0" w:color="auto"/>
            <w:left w:val="none" w:sz="0" w:space="0" w:color="auto"/>
            <w:bottom w:val="none" w:sz="0" w:space="0" w:color="auto"/>
            <w:right w:val="none" w:sz="0" w:space="0" w:color="auto"/>
          </w:divBdr>
          <w:divsChild>
            <w:div w:id="2080715294">
              <w:marLeft w:val="0"/>
              <w:marRight w:val="0"/>
              <w:marTop w:val="0"/>
              <w:marBottom w:val="0"/>
              <w:divBdr>
                <w:top w:val="none" w:sz="0" w:space="0" w:color="auto"/>
                <w:left w:val="none" w:sz="0" w:space="0" w:color="auto"/>
                <w:bottom w:val="none" w:sz="0" w:space="0" w:color="auto"/>
                <w:right w:val="none" w:sz="0" w:space="0" w:color="auto"/>
              </w:divBdr>
              <w:divsChild>
                <w:div w:id="893851272">
                  <w:marLeft w:val="0"/>
                  <w:marRight w:val="0"/>
                  <w:marTop w:val="0"/>
                  <w:marBottom w:val="0"/>
                  <w:divBdr>
                    <w:top w:val="none" w:sz="0" w:space="0" w:color="auto"/>
                    <w:left w:val="none" w:sz="0" w:space="0" w:color="auto"/>
                    <w:bottom w:val="none" w:sz="0" w:space="0" w:color="auto"/>
                    <w:right w:val="none" w:sz="0" w:space="0" w:color="auto"/>
                  </w:divBdr>
                  <w:divsChild>
                    <w:div w:id="7430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45872">
      <w:bodyDiv w:val="1"/>
      <w:marLeft w:val="0"/>
      <w:marRight w:val="0"/>
      <w:marTop w:val="0"/>
      <w:marBottom w:val="0"/>
      <w:divBdr>
        <w:top w:val="none" w:sz="0" w:space="0" w:color="auto"/>
        <w:left w:val="none" w:sz="0" w:space="0" w:color="auto"/>
        <w:bottom w:val="none" w:sz="0" w:space="0" w:color="auto"/>
        <w:right w:val="none" w:sz="0" w:space="0" w:color="auto"/>
      </w:divBdr>
    </w:div>
    <w:div w:id="1229073884">
      <w:bodyDiv w:val="1"/>
      <w:marLeft w:val="0"/>
      <w:marRight w:val="0"/>
      <w:marTop w:val="0"/>
      <w:marBottom w:val="0"/>
      <w:divBdr>
        <w:top w:val="none" w:sz="0" w:space="0" w:color="auto"/>
        <w:left w:val="none" w:sz="0" w:space="0" w:color="auto"/>
        <w:bottom w:val="none" w:sz="0" w:space="0" w:color="auto"/>
        <w:right w:val="none" w:sz="0" w:space="0" w:color="auto"/>
      </w:divBdr>
      <w:divsChild>
        <w:div w:id="1551651758">
          <w:marLeft w:val="0"/>
          <w:marRight w:val="0"/>
          <w:marTop w:val="0"/>
          <w:marBottom w:val="0"/>
          <w:divBdr>
            <w:top w:val="none" w:sz="0" w:space="0" w:color="auto"/>
            <w:left w:val="none" w:sz="0" w:space="0" w:color="auto"/>
            <w:bottom w:val="none" w:sz="0" w:space="0" w:color="auto"/>
            <w:right w:val="none" w:sz="0" w:space="0" w:color="auto"/>
          </w:divBdr>
          <w:divsChild>
            <w:div w:id="1913155099">
              <w:marLeft w:val="0"/>
              <w:marRight w:val="0"/>
              <w:marTop w:val="0"/>
              <w:marBottom w:val="0"/>
              <w:divBdr>
                <w:top w:val="none" w:sz="0" w:space="0" w:color="auto"/>
                <w:left w:val="none" w:sz="0" w:space="0" w:color="auto"/>
                <w:bottom w:val="none" w:sz="0" w:space="0" w:color="auto"/>
                <w:right w:val="none" w:sz="0" w:space="0" w:color="auto"/>
              </w:divBdr>
              <w:divsChild>
                <w:div w:id="1345206799">
                  <w:marLeft w:val="0"/>
                  <w:marRight w:val="0"/>
                  <w:marTop w:val="0"/>
                  <w:marBottom w:val="0"/>
                  <w:divBdr>
                    <w:top w:val="none" w:sz="0" w:space="0" w:color="auto"/>
                    <w:left w:val="none" w:sz="0" w:space="0" w:color="auto"/>
                    <w:bottom w:val="none" w:sz="0" w:space="0" w:color="auto"/>
                    <w:right w:val="none" w:sz="0" w:space="0" w:color="auto"/>
                  </w:divBdr>
                  <w:divsChild>
                    <w:div w:id="1291470985">
                      <w:marLeft w:val="0"/>
                      <w:marRight w:val="0"/>
                      <w:marTop w:val="0"/>
                      <w:marBottom w:val="0"/>
                      <w:divBdr>
                        <w:top w:val="none" w:sz="0" w:space="0" w:color="auto"/>
                        <w:left w:val="none" w:sz="0" w:space="0" w:color="auto"/>
                        <w:bottom w:val="none" w:sz="0" w:space="0" w:color="auto"/>
                        <w:right w:val="none" w:sz="0" w:space="0" w:color="auto"/>
                      </w:divBdr>
                      <w:divsChild>
                        <w:div w:id="10815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487241">
      <w:bodyDiv w:val="1"/>
      <w:marLeft w:val="0"/>
      <w:marRight w:val="0"/>
      <w:marTop w:val="0"/>
      <w:marBottom w:val="0"/>
      <w:divBdr>
        <w:top w:val="none" w:sz="0" w:space="0" w:color="auto"/>
        <w:left w:val="none" w:sz="0" w:space="0" w:color="auto"/>
        <w:bottom w:val="none" w:sz="0" w:space="0" w:color="auto"/>
        <w:right w:val="none" w:sz="0" w:space="0" w:color="auto"/>
      </w:divBdr>
    </w:div>
    <w:div w:id="1653944867">
      <w:bodyDiv w:val="1"/>
      <w:marLeft w:val="0"/>
      <w:marRight w:val="0"/>
      <w:marTop w:val="0"/>
      <w:marBottom w:val="0"/>
      <w:divBdr>
        <w:top w:val="none" w:sz="0" w:space="0" w:color="auto"/>
        <w:left w:val="none" w:sz="0" w:space="0" w:color="auto"/>
        <w:bottom w:val="none" w:sz="0" w:space="0" w:color="auto"/>
        <w:right w:val="none" w:sz="0" w:space="0" w:color="auto"/>
      </w:divBdr>
    </w:div>
    <w:div w:id="1869295648">
      <w:bodyDiv w:val="1"/>
      <w:marLeft w:val="0"/>
      <w:marRight w:val="0"/>
      <w:marTop w:val="0"/>
      <w:marBottom w:val="0"/>
      <w:divBdr>
        <w:top w:val="none" w:sz="0" w:space="0" w:color="auto"/>
        <w:left w:val="none" w:sz="0" w:space="0" w:color="auto"/>
        <w:bottom w:val="none" w:sz="0" w:space="0" w:color="auto"/>
        <w:right w:val="none" w:sz="0" w:space="0" w:color="auto"/>
      </w:divBdr>
    </w:div>
    <w:div w:id="213968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lity.org.za/topic/projects" TargetMode="Externa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7.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0.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polity.org.za/topic/finance"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9.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olity.org.za/topic/security"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8.xml"/></Relationships>
</file>

<file path=word/_rels/footnotes.xml.rels><?xml version="1.0" encoding="UTF-8" standalone="yes"?>
<Relationships xmlns="http://schemas.openxmlformats.org/package/2006/relationships"><Relationship Id="rId3" Type="http://schemas.openxmlformats.org/officeDocument/2006/relationships/hyperlink" Target="http://www.polity.org.za/topic/projects" TargetMode="External"/><Relationship Id="rId2" Type="http://schemas.openxmlformats.org/officeDocument/2006/relationships/hyperlink" Target="http://www.polity.org.za" TargetMode="External"/><Relationship Id="rId1" Type="http://schemas.openxmlformats.org/officeDocument/2006/relationships/hyperlink" Target="http://www.gov.za" TargetMode="External"/><Relationship Id="rId6" Type="http://schemas.openxmlformats.org/officeDocument/2006/relationships/hyperlink" Target="http://www.naci.org.za/wp-content/uploads/2018/07/South_African_Science_Technology_And_Innovation_Indicators_Report_2017.pdf" TargetMode="External"/><Relationship Id="rId5" Type="http://schemas.openxmlformats.org/officeDocument/2006/relationships/hyperlink" Target="http://www.polity.org.za/topic/projects" TargetMode="External"/><Relationship Id="rId4" Type="http://schemas.openxmlformats.org/officeDocument/2006/relationships/hyperlink" Target="http://www.polity.org.za/topic/power"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12.xml.rels><?xml version="1.0" encoding="UTF-8" standalone="yes"?>
<Relationships xmlns="http://schemas.openxmlformats.org/package/2006/relationships"><Relationship Id="rId1" Type="http://schemas.openxmlformats.org/officeDocument/2006/relationships/oleObject" Target="file:///C:\Users\Ntsiki.Manzini-Mateb\AppData\Local\Microsoft\Windows\INetCache\Content.Outlook\06T4MYSG\Book1.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Ntsiki.Manzini-Mateb\AppData\Local\Microsoft\Windows\INetCache\Content.Outlook\06T4MYSG\Book1%20(3).xlsx" TargetMode="Externa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Ntsiki.Manzini-Mateb\Documents\CSW63\country%20report\Social%20grants%20year%20and%20sex.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Sheet1!$A$3:$C$3</c:f>
              <c:strCache>
                <c:ptCount val="1"/>
                <c:pt idx="0">
                  <c:v>Old Age Grant</c:v>
                </c:pt>
              </c:strCache>
            </c:strRef>
          </c:tx>
          <c:spPr>
            <a:noFill/>
            <a:ln w="25400" cap="flat" cmpd="sng" algn="ctr">
              <a:solidFill>
                <a:schemeClr val="accent1"/>
              </a:solidFill>
              <a:miter lim="800000"/>
            </a:ln>
            <a:effectLst/>
          </c:spPr>
          <c:invertIfNegative val="0"/>
          <c:cat>
            <c:strRef>
              <c:f>Sheet1!$D$2:$AJ$2</c:f>
              <c:strCache>
                <c:ptCount val="33"/>
                <c:pt idx="0">
                  <c:v>1996/97</c:v>
                </c:pt>
                <c:pt idx="2">
                  <c:v>1998/1999</c:v>
                </c:pt>
                <c:pt idx="4">
                  <c:v>2000/2001</c:v>
                </c:pt>
                <c:pt idx="6">
                  <c:v>2002/2003</c:v>
                </c:pt>
                <c:pt idx="8">
                  <c:v>2004/2005</c:v>
                </c:pt>
                <c:pt idx="10">
                  <c:v>2006/2007</c:v>
                </c:pt>
                <c:pt idx="12">
                  <c:v>2007/2008</c:v>
                </c:pt>
                <c:pt idx="14">
                  <c:v>2008/2009</c:v>
                </c:pt>
                <c:pt idx="16">
                  <c:v>2009/2010</c:v>
                </c:pt>
                <c:pt idx="18">
                  <c:v>2010/2011</c:v>
                </c:pt>
                <c:pt idx="20">
                  <c:v>2011/2012</c:v>
                </c:pt>
                <c:pt idx="22">
                  <c:v>2012/2013</c:v>
                </c:pt>
                <c:pt idx="24">
                  <c:v>2013/2014</c:v>
                </c:pt>
                <c:pt idx="26">
                  <c:v>2014/2015</c:v>
                </c:pt>
                <c:pt idx="28">
                  <c:v>2015/2016</c:v>
                </c:pt>
                <c:pt idx="30">
                  <c:v>2016/2017</c:v>
                </c:pt>
                <c:pt idx="32">
                  <c:v>2017/2018</c:v>
                </c:pt>
              </c:strCache>
            </c:strRef>
          </c:cat>
          <c:val>
            <c:numRef>
              <c:f>Sheet1!$D$3:$AJ$3</c:f>
              <c:numCache>
                <c:formatCode>General</c:formatCode>
                <c:ptCount val="33"/>
                <c:pt idx="0" formatCode="#,##0">
                  <c:v>1637934</c:v>
                </c:pt>
                <c:pt idx="2" formatCode="#,##0">
                  <c:v>1812695</c:v>
                </c:pt>
                <c:pt idx="4" formatCode="#,##0">
                  <c:v>1900406</c:v>
                </c:pt>
                <c:pt idx="6" formatCode="#,##0">
                  <c:v>1943348</c:v>
                </c:pt>
                <c:pt idx="8" formatCode="#,##0">
                  <c:v>2124984</c:v>
                </c:pt>
                <c:pt idx="10" formatCode="#,##0">
                  <c:v>2195018</c:v>
                </c:pt>
                <c:pt idx="12" formatCode="#,##0">
                  <c:v>2229550</c:v>
                </c:pt>
                <c:pt idx="14" formatCode="#,##0">
                  <c:v>2390543</c:v>
                </c:pt>
                <c:pt idx="16" formatCode="#,##0">
                  <c:v>2546657</c:v>
                </c:pt>
                <c:pt idx="18" formatCode="#,##0">
                  <c:v>2678554</c:v>
                </c:pt>
                <c:pt idx="20" formatCode="#,##0">
                  <c:v>2750857</c:v>
                </c:pt>
                <c:pt idx="22" formatCode="#,##0">
                  <c:v>2873197</c:v>
                </c:pt>
                <c:pt idx="24" formatCode="#,##0">
                  <c:v>2969933</c:v>
                </c:pt>
                <c:pt idx="26" formatCode="#,##0">
                  <c:v>3086851</c:v>
                </c:pt>
                <c:pt idx="28" formatCode="#,##0">
                  <c:v>3194087</c:v>
                </c:pt>
                <c:pt idx="30" formatCode="#,##0">
                  <c:v>3302202</c:v>
                </c:pt>
                <c:pt idx="32" formatCode="#,##0">
                  <c:v>3423337</c:v>
                </c:pt>
              </c:numCache>
            </c:numRef>
          </c:val>
          <c:extLst xmlns:c16r2="http://schemas.microsoft.com/office/drawing/2015/06/chart">
            <c:ext xmlns:c16="http://schemas.microsoft.com/office/drawing/2014/chart" uri="{C3380CC4-5D6E-409C-BE32-E72D297353CC}">
              <c16:uniqueId val="{00000000-20C2-4FB4-9F1F-EB96A6C04B3A}"/>
            </c:ext>
          </c:extLst>
        </c:ser>
        <c:ser>
          <c:idx val="1"/>
          <c:order val="1"/>
          <c:tx>
            <c:strRef>
              <c:f>Sheet1!$A$4:$C$4</c:f>
              <c:strCache>
                <c:ptCount val="1"/>
                <c:pt idx="0">
                  <c:v>War Veteran Grant</c:v>
                </c:pt>
              </c:strCache>
            </c:strRef>
          </c:tx>
          <c:spPr>
            <a:noFill/>
            <a:ln w="25400" cap="flat" cmpd="sng" algn="ctr">
              <a:solidFill>
                <a:schemeClr val="accent2"/>
              </a:solidFill>
              <a:miter lim="800000"/>
            </a:ln>
            <a:effectLst/>
          </c:spPr>
          <c:invertIfNegative val="0"/>
          <c:cat>
            <c:strRef>
              <c:f>Sheet1!$D$2:$AJ$2</c:f>
              <c:strCache>
                <c:ptCount val="33"/>
                <c:pt idx="0">
                  <c:v>1996/97</c:v>
                </c:pt>
                <c:pt idx="2">
                  <c:v>1998/1999</c:v>
                </c:pt>
                <c:pt idx="4">
                  <c:v>2000/2001</c:v>
                </c:pt>
                <c:pt idx="6">
                  <c:v>2002/2003</c:v>
                </c:pt>
                <c:pt idx="8">
                  <c:v>2004/2005</c:v>
                </c:pt>
                <c:pt idx="10">
                  <c:v>2006/2007</c:v>
                </c:pt>
                <c:pt idx="12">
                  <c:v>2007/2008</c:v>
                </c:pt>
                <c:pt idx="14">
                  <c:v>2008/2009</c:v>
                </c:pt>
                <c:pt idx="16">
                  <c:v>2009/2010</c:v>
                </c:pt>
                <c:pt idx="18">
                  <c:v>2010/2011</c:v>
                </c:pt>
                <c:pt idx="20">
                  <c:v>2011/2012</c:v>
                </c:pt>
                <c:pt idx="22">
                  <c:v>2012/2013</c:v>
                </c:pt>
                <c:pt idx="24">
                  <c:v>2013/2014</c:v>
                </c:pt>
                <c:pt idx="26">
                  <c:v>2014/2015</c:v>
                </c:pt>
                <c:pt idx="28">
                  <c:v>2015/2016</c:v>
                </c:pt>
                <c:pt idx="30">
                  <c:v>2016/2017</c:v>
                </c:pt>
                <c:pt idx="32">
                  <c:v>2017/2018</c:v>
                </c:pt>
              </c:strCache>
            </c:strRef>
          </c:cat>
          <c:val>
            <c:numRef>
              <c:f>Sheet1!$D$4:$AJ$4</c:f>
              <c:numCache>
                <c:formatCode>General</c:formatCode>
                <c:ptCount val="33"/>
                <c:pt idx="0" formatCode="#,##0">
                  <c:v>13473</c:v>
                </c:pt>
                <c:pt idx="2" formatCode="#,##0">
                  <c:v>9197</c:v>
                </c:pt>
                <c:pt idx="4" formatCode="#,##0">
                  <c:v>5617</c:v>
                </c:pt>
                <c:pt idx="6" formatCode="#,##0">
                  <c:v>4638</c:v>
                </c:pt>
                <c:pt idx="8" formatCode="#,##0">
                  <c:v>2963</c:v>
                </c:pt>
                <c:pt idx="10" formatCode="#,##0">
                  <c:v>2340</c:v>
                </c:pt>
                <c:pt idx="12" formatCode="#,##0">
                  <c:v>1924</c:v>
                </c:pt>
                <c:pt idx="14" formatCode="#,##0">
                  <c:v>1500</c:v>
                </c:pt>
                <c:pt idx="16" formatCode="#,##0">
                  <c:v>1216</c:v>
                </c:pt>
                <c:pt idx="18">
                  <c:v>958</c:v>
                </c:pt>
                <c:pt idx="20">
                  <c:v>753</c:v>
                </c:pt>
                <c:pt idx="22">
                  <c:v>587</c:v>
                </c:pt>
                <c:pt idx="24">
                  <c:v>429</c:v>
                </c:pt>
                <c:pt idx="26">
                  <c:v>328</c:v>
                </c:pt>
                <c:pt idx="28">
                  <c:v>245</c:v>
                </c:pt>
                <c:pt idx="30">
                  <c:v>178</c:v>
                </c:pt>
                <c:pt idx="32">
                  <c:v>134</c:v>
                </c:pt>
              </c:numCache>
            </c:numRef>
          </c:val>
          <c:extLst xmlns:c16r2="http://schemas.microsoft.com/office/drawing/2015/06/chart">
            <c:ext xmlns:c16="http://schemas.microsoft.com/office/drawing/2014/chart" uri="{C3380CC4-5D6E-409C-BE32-E72D297353CC}">
              <c16:uniqueId val="{00000001-20C2-4FB4-9F1F-EB96A6C04B3A}"/>
            </c:ext>
          </c:extLst>
        </c:ser>
        <c:ser>
          <c:idx val="2"/>
          <c:order val="2"/>
          <c:tx>
            <c:strRef>
              <c:f>Sheet1!$A$5:$C$5</c:f>
              <c:strCache>
                <c:ptCount val="1"/>
                <c:pt idx="0">
                  <c:v>Disability Grant</c:v>
                </c:pt>
              </c:strCache>
            </c:strRef>
          </c:tx>
          <c:spPr>
            <a:noFill/>
            <a:ln w="25400" cap="flat" cmpd="sng" algn="ctr">
              <a:solidFill>
                <a:schemeClr val="accent3"/>
              </a:solidFill>
              <a:miter lim="800000"/>
            </a:ln>
            <a:effectLst/>
          </c:spPr>
          <c:invertIfNegative val="0"/>
          <c:cat>
            <c:strRef>
              <c:f>Sheet1!$D$2:$AJ$2</c:f>
              <c:strCache>
                <c:ptCount val="33"/>
                <c:pt idx="0">
                  <c:v>1996/97</c:v>
                </c:pt>
                <c:pt idx="2">
                  <c:v>1998/1999</c:v>
                </c:pt>
                <c:pt idx="4">
                  <c:v>2000/2001</c:v>
                </c:pt>
                <c:pt idx="6">
                  <c:v>2002/2003</c:v>
                </c:pt>
                <c:pt idx="8">
                  <c:v>2004/2005</c:v>
                </c:pt>
                <c:pt idx="10">
                  <c:v>2006/2007</c:v>
                </c:pt>
                <c:pt idx="12">
                  <c:v>2007/2008</c:v>
                </c:pt>
                <c:pt idx="14">
                  <c:v>2008/2009</c:v>
                </c:pt>
                <c:pt idx="16">
                  <c:v>2009/2010</c:v>
                </c:pt>
                <c:pt idx="18">
                  <c:v>2010/2011</c:v>
                </c:pt>
                <c:pt idx="20">
                  <c:v>2011/2012</c:v>
                </c:pt>
                <c:pt idx="22">
                  <c:v>2012/2013</c:v>
                </c:pt>
                <c:pt idx="24">
                  <c:v>2013/2014</c:v>
                </c:pt>
                <c:pt idx="26">
                  <c:v>2014/2015</c:v>
                </c:pt>
                <c:pt idx="28">
                  <c:v>2015/2016</c:v>
                </c:pt>
                <c:pt idx="30">
                  <c:v>2016/2017</c:v>
                </c:pt>
                <c:pt idx="32">
                  <c:v>2017/2018</c:v>
                </c:pt>
              </c:strCache>
            </c:strRef>
          </c:cat>
          <c:val>
            <c:numRef>
              <c:f>Sheet1!$D$5:$AJ$5</c:f>
              <c:numCache>
                <c:formatCode>General</c:formatCode>
                <c:ptCount val="33"/>
                <c:pt idx="0" formatCode="#,##0">
                  <c:v>711629</c:v>
                </c:pt>
                <c:pt idx="2" formatCode="#,##0">
                  <c:v>633778</c:v>
                </c:pt>
                <c:pt idx="4" formatCode="#,##0">
                  <c:v>655822</c:v>
                </c:pt>
                <c:pt idx="6" formatCode="#,##0">
                  <c:v>840424</c:v>
                </c:pt>
                <c:pt idx="8" formatCode="#,##0">
                  <c:v>1293280</c:v>
                </c:pt>
                <c:pt idx="10" formatCode="#,##0">
                  <c:v>1422808</c:v>
                </c:pt>
                <c:pt idx="12" formatCode="#,##0">
                  <c:v>1408456</c:v>
                </c:pt>
                <c:pt idx="14" formatCode="#,##0">
                  <c:v>1286883</c:v>
                </c:pt>
                <c:pt idx="16" formatCode="#,##0">
                  <c:v>1264477</c:v>
                </c:pt>
                <c:pt idx="18" formatCode="#,##0">
                  <c:v>1200898</c:v>
                </c:pt>
                <c:pt idx="20" formatCode="#,##0">
                  <c:v>1198131</c:v>
                </c:pt>
                <c:pt idx="22" formatCode="#,##0">
                  <c:v>1164192</c:v>
                </c:pt>
                <c:pt idx="24" formatCode="#,##0">
                  <c:v>1120419</c:v>
                </c:pt>
                <c:pt idx="26" formatCode="#,##0">
                  <c:v>1112663</c:v>
                </c:pt>
                <c:pt idx="28" formatCode="#,##0">
                  <c:v>1085541</c:v>
                </c:pt>
                <c:pt idx="30" formatCode="#,##0">
                  <c:v>1067176</c:v>
                </c:pt>
                <c:pt idx="32" formatCode="#,##0">
                  <c:v>1061866</c:v>
                </c:pt>
              </c:numCache>
            </c:numRef>
          </c:val>
          <c:extLst xmlns:c16r2="http://schemas.microsoft.com/office/drawing/2015/06/chart">
            <c:ext xmlns:c16="http://schemas.microsoft.com/office/drawing/2014/chart" uri="{C3380CC4-5D6E-409C-BE32-E72D297353CC}">
              <c16:uniqueId val="{00000002-20C2-4FB4-9F1F-EB96A6C04B3A}"/>
            </c:ext>
          </c:extLst>
        </c:ser>
        <c:ser>
          <c:idx val="3"/>
          <c:order val="3"/>
          <c:tx>
            <c:strRef>
              <c:f>Sheet1!$A$6:$C$6</c:f>
              <c:strCache>
                <c:ptCount val="1"/>
                <c:pt idx="0">
                  <c:v>Grant-in-Aid</c:v>
                </c:pt>
              </c:strCache>
            </c:strRef>
          </c:tx>
          <c:spPr>
            <a:noFill/>
            <a:ln w="25400" cap="flat" cmpd="sng" algn="ctr">
              <a:solidFill>
                <a:schemeClr val="accent4"/>
              </a:solidFill>
              <a:miter lim="800000"/>
            </a:ln>
            <a:effectLst/>
          </c:spPr>
          <c:invertIfNegative val="0"/>
          <c:cat>
            <c:strRef>
              <c:f>Sheet1!$D$2:$AJ$2</c:f>
              <c:strCache>
                <c:ptCount val="33"/>
                <c:pt idx="0">
                  <c:v>1996/97</c:v>
                </c:pt>
                <c:pt idx="2">
                  <c:v>1998/1999</c:v>
                </c:pt>
                <c:pt idx="4">
                  <c:v>2000/2001</c:v>
                </c:pt>
                <c:pt idx="6">
                  <c:v>2002/2003</c:v>
                </c:pt>
                <c:pt idx="8">
                  <c:v>2004/2005</c:v>
                </c:pt>
                <c:pt idx="10">
                  <c:v>2006/2007</c:v>
                </c:pt>
                <c:pt idx="12">
                  <c:v>2007/2008</c:v>
                </c:pt>
                <c:pt idx="14">
                  <c:v>2008/2009</c:v>
                </c:pt>
                <c:pt idx="16">
                  <c:v>2009/2010</c:v>
                </c:pt>
                <c:pt idx="18">
                  <c:v>2010/2011</c:v>
                </c:pt>
                <c:pt idx="20">
                  <c:v>2011/2012</c:v>
                </c:pt>
                <c:pt idx="22">
                  <c:v>2012/2013</c:v>
                </c:pt>
                <c:pt idx="24">
                  <c:v>2013/2014</c:v>
                </c:pt>
                <c:pt idx="26">
                  <c:v>2014/2015</c:v>
                </c:pt>
                <c:pt idx="28">
                  <c:v>2015/2016</c:v>
                </c:pt>
                <c:pt idx="30">
                  <c:v>2016/2017</c:v>
                </c:pt>
                <c:pt idx="32">
                  <c:v>2017/2018</c:v>
                </c:pt>
              </c:strCache>
            </c:strRef>
          </c:cat>
          <c:val>
            <c:numRef>
              <c:f>Sheet1!$D$6:$AJ$6</c:f>
              <c:numCache>
                <c:formatCode>General</c:formatCode>
                <c:ptCount val="33"/>
                <c:pt idx="10" formatCode="#,##0">
                  <c:v>31918</c:v>
                </c:pt>
                <c:pt idx="12" formatCode="#,##0">
                  <c:v>37343</c:v>
                </c:pt>
                <c:pt idx="14" formatCode="#,##0">
                  <c:v>46069</c:v>
                </c:pt>
                <c:pt idx="16" formatCode="#,##0">
                  <c:v>53237</c:v>
                </c:pt>
                <c:pt idx="18" formatCode="#,##0">
                  <c:v>58413</c:v>
                </c:pt>
                <c:pt idx="20" formatCode="#,##0">
                  <c:v>66493</c:v>
                </c:pt>
                <c:pt idx="22" formatCode="#,##0">
                  <c:v>73719</c:v>
                </c:pt>
                <c:pt idx="24" formatCode="#,##0">
                  <c:v>83059</c:v>
                </c:pt>
                <c:pt idx="26" formatCode="#,##0">
                  <c:v>113087</c:v>
                </c:pt>
                <c:pt idx="28" formatCode="#,##0">
                  <c:v>137806</c:v>
                </c:pt>
                <c:pt idx="30" formatCode="#,##0">
                  <c:v>164349</c:v>
                </c:pt>
                <c:pt idx="32" formatCode="#,##0">
                  <c:v>192091</c:v>
                </c:pt>
              </c:numCache>
            </c:numRef>
          </c:val>
          <c:extLst xmlns:c16r2="http://schemas.microsoft.com/office/drawing/2015/06/chart">
            <c:ext xmlns:c16="http://schemas.microsoft.com/office/drawing/2014/chart" uri="{C3380CC4-5D6E-409C-BE32-E72D297353CC}">
              <c16:uniqueId val="{00000003-20C2-4FB4-9F1F-EB96A6C04B3A}"/>
            </c:ext>
          </c:extLst>
        </c:ser>
        <c:ser>
          <c:idx val="4"/>
          <c:order val="4"/>
          <c:tx>
            <c:strRef>
              <c:f>Sheet1!$A$7:$C$7</c:f>
              <c:strCache>
                <c:ptCount val="1"/>
                <c:pt idx="0">
                  <c:v>Care Dependency Grant</c:v>
                </c:pt>
              </c:strCache>
            </c:strRef>
          </c:tx>
          <c:spPr>
            <a:noFill/>
            <a:ln w="25400" cap="flat" cmpd="sng" algn="ctr">
              <a:solidFill>
                <a:schemeClr val="accent5"/>
              </a:solidFill>
              <a:miter lim="800000"/>
            </a:ln>
            <a:effectLst/>
          </c:spPr>
          <c:invertIfNegative val="0"/>
          <c:cat>
            <c:strRef>
              <c:f>Sheet1!$D$2:$AJ$2</c:f>
              <c:strCache>
                <c:ptCount val="33"/>
                <c:pt idx="0">
                  <c:v>1996/97</c:v>
                </c:pt>
                <c:pt idx="2">
                  <c:v>1998/1999</c:v>
                </c:pt>
                <c:pt idx="4">
                  <c:v>2000/2001</c:v>
                </c:pt>
                <c:pt idx="6">
                  <c:v>2002/2003</c:v>
                </c:pt>
                <c:pt idx="8">
                  <c:v>2004/2005</c:v>
                </c:pt>
                <c:pt idx="10">
                  <c:v>2006/2007</c:v>
                </c:pt>
                <c:pt idx="12">
                  <c:v>2007/2008</c:v>
                </c:pt>
                <c:pt idx="14">
                  <c:v>2008/2009</c:v>
                </c:pt>
                <c:pt idx="16">
                  <c:v>2009/2010</c:v>
                </c:pt>
                <c:pt idx="18">
                  <c:v>2010/2011</c:v>
                </c:pt>
                <c:pt idx="20">
                  <c:v>2011/2012</c:v>
                </c:pt>
                <c:pt idx="22">
                  <c:v>2012/2013</c:v>
                </c:pt>
                <c:pt idx="24">
                  <c:v>2013/2014</c:v>
                </c:pt>
                <c:pt idx="26">
                  <c:v>2014/2015</c:v>
                </c:pt>
                <c:pt idx="28">
                  <c:v>2015/2016</c:v>
                </c:pt>
                <c:pt idx="30">
                  <c:v>2016/2017</c:v>
                </c:pt>
                <c:pt idx="32">
                  <c:v>2017/2018</c:v>
                </c:pt>
              </c:strCache>
            </c:strRef>
          </c:cat>
          <c:val>
            <c:numRef>
              <c:f>Sheet1!$D$7:$AJ$7</c:f>
              <c:numCache>
                <c:formatCode>General</c:formatCode>
                <c:ptCount val="33"/>
                <c:pt idx="0" formatCode="#,##0">
                  <c:v>2707</c:v>
                </c:pt>
                <c:pt idx="2" formatCode="#,##0">
                  <c:v>16835</c:v>
                </c:pt>
                <c:pt idx="4" formatCode="#,##0">
                  <c:v>33574</c:v>
                </c:pt>
                <c:pt idx="6" formatCode="#,##0">
                  <c:v>42355</c:v>
                </c:pt>
                <c:pt idx="8" formatCode="#,##0">
                  <c:v>86917</c:v>
                </c:pt>
                <c:pt idx="10" formatCode="#,##0">
                  <c:v>98631</c:v>
                </c:pt>
                <c:pt idx="12" formatCode="#,##0">
                  <c:v>102292</c:v>
                </c:pt>
                <c:pt idx="14" formatCode="#,##0">
                  <c:v>107065</c:v>
                </c:pt>
                <c:pt idx="16" formatCode="#,##0">
                  <c:v>110731</c:v>
                </c:pt>
                <c:pt idx="18" formatCode="#,##0">
                  <c:v>112185</c:v>
                </c:pt>
                <c:pt idx="20" formatCode="#,##0">
                  <c:v>114993</c:v>
                </c:pt>
                <c:pt idx="22" formatCode="#,##0">
                  <c:v>120268</c:v>
                </c:pt>
                <c:pt idx="24" formatCode="#,##0">
                  <c:v>120632</c:v>
                </c:pt>
                <c:pt idx="26" formatCode="#,##0">
                  <c:v>126777</c:v>
                </c:pt>
                <c:pt idx="28" formatCode="#,##0">
                  <c:v>131040</c:v>
                </c:pt>
                <c:pt idx="30" formatCode="#,##0">
                  <c:v>144952</c:v>
                </c:pt>
                <c:pt idx="32" formatCode="#,##0">
                  <c:v>147467</c:v>
                </c:pt>
              </c:numCache>
            </c:numRef>
          </c:val>
          <c:extLst xmlns:c16r2="http://schemas.microsoft.com/office/drawing/2015/06/chart">
            <c:ext xmlns:c16="http://schemas.microsoft.com/office/drawing/2014/chart" uri="{C3380CC4-5D6E-409C-BE32-E72D297353CC}">
              <c16:uniqueId val="{00000004-20C2-4FB4-9F1F-EB96A6C04B3A}"/>
            </c:ext>
          </c:extLst>
        </c:ser>
        <c:ser>
          <c:idx val="5"/>
          <c:order val="5"/>
          <c:tx>
            <c:strRef>
              <c:f>Sheet1!$A$8:$C$8</c:f>
              <c:strCache>
                <c:ptCount val="1"/>
                <c:pt idx="0">
                  <c:v>Foster Care/Foster Child Grant</c:v>
                </c:pt>
              </c:strCache>
            </c:strRef>
          </c:tx>
          <c:spPr>
            <a:noFill/>
            <a:ln w="25400" cap="flat" cmpd="sng" algn="ctr">
              <a:solidFill>
                <a:schemeClr val="accent6"/>
              </a:solidFill>
              <a:miter lim="800000"/>
            </a:ln>
            <a:effectLst/>
          </c:spPr>
          <c:invertIfNegative val="0"/>
          <c:cat>
            <c:strRef>
              <c:f>Sheet1!$D$2:$AJ$2</c:f>
              <c:strCache>
                <c:ptCount val="33"/>
                <c:pt idx="0">
                  <c:v>1996/97</c:v>
                </c:pt>
                <c:pt idx="2">
                  <c:v>1998/1999</c:v>
                </c:pt>
                <c:pt idx="4">
                  <c:v>2000/2001</c:v>
                </c:pt>
                <c:pt idx="6">
                  <c:v>2002/2003</c:v>
                </c:pt>
                <c:pt idx="8">
                  <c:v>2004/2005</c:v>
                </c:pt>
                <c:pt idx="10">
                  <c:v>2006/2007</c:v>
                </c:pt>
                <c:pt idx="12">
                  <c:v>2007/2008</c:v>
                </c:pt>
                <c:pt idx="14">
                  <c:v>2008/2009</c:v>
                </c:pt>
                <c:pt idx="16">
                  <c:v>2009/2010</c:v>
                </c:pt>
                <c:pt idx="18">
                  <c:v>2010/2011</c:v>
                </c:pt>
                <c:pt idx="20">
                  <c:v>2011/2012</c:v>
                </c:pt>
                <c:pt idx="22">
                  <c:v>2012/2013</c:v>
                </c:pt>
                <c:pt idx="24">
                  <c:v>2013/2014</c:v>
                </c:pt>
                <c:pt idx="26">
                  <c:v>2014/2015</c:v>
                </c:pt>
                <c:pt idx="28">
                  <c:v>2015/2016</c:v>
                </c:pt>
                <c:pt idx="30">
                  <c:v>2016/2017</c:v>
                </c:pt>
                <c:pt idx="32">
                  <c:v>2017/2018</c:v>
                </c:pt>
              </c:strCache>
            </c:strRef>
          </c:cat>
          <c:val>
            <c:numRef>
              <c:f>Sheet1!$D$8:$AJ$8</c:f>
              <c:numCache>
                <c:formatCode>General</c:formatCode>
                <c:ptCount val="33"/>
                <c:pt idx="0" formatCode="#,##0">
                  <c:v>42999</c:v>
                </c:pt>
                <c:pt idx="2" formatCode="#,##0">
                  <c:v>46496</c:v>
                </c:pt>
                <c:pt idx="4" formatCode="#,##0">
                  <c:v>66967</c:v>
                </c:pt>
                <c:pt idx="6" formatCode="#,##0">
                  <c:v>83574</c:v>
                </c:pt>
                <c:pt idx="8" formatCode="#,##0">
                  <c:v>195454</c:v>
                </c:pt>
                <c:pt idx="10" formatCode="#,##0">
                  <c:v>400503</c:v>
                </c:pt>
                <c:pt idx="12" formatCode="#,##0">
                  <c:v>454199</c:v>
                </c:pt>
                <c:pt idx="14" formatCode="#,##0">
                  <c:v>474759</c:v>
                </c:pt>
                <c:pt idx="16" formatCode="#,##0">
                  <c:v>510760</c:v>
                </c:pt>
                <c:pt idx="18" formatCode="#,##0">
                  <c:v>512874</c:v>
                </c:pt>
                <c:pt idx="20" formatCode="#,##0">
                  <c:v>536747</c:v>
                </c:pt>
                <c:pt idx="22" formatCode="#,##0">
                  <c:v>532159</c:v>
                </c:pt>
                <c:pt idx="24" formatCode="#,##0">
                  <c:v>512055</c:v>
                </c:pt>
                <c:pt idx="26" formatCode="#,##0">
                  <c:v>499774</c:v>
                </c:pt>
                <c:pt idx="28" formatCode="#,##0">
                  <c:v>470015</c:v>
                </c:pt>
                <c:pt idx="30" formatCode="#,##0">
                  <c:v>440295</c:v>
                </c:pt>
                <c:pt idx="32" formatCode="#,##0">
                  <c:v>416016</c:v>
                </c:pt>
              </c:numCache>
            </c:numRef>
          </c:val>
          <c:extLst xmlns:c16r2="http://schemas.microsoft.com/office/drawing/2015/06/chart">
            <c:ext xmlns:c16="http://schemas.microsoft.com/office/drawing/2014/chart" uri="{C3380CC4-5D6E-409C-BE32-E72D297353CC}">
              <c16:uniqueId val="{00000005-20C2-4FB4-9F1F-EB96A6C04B3A}"/>
            </c:ext>
          </c:extLst>
        </c:ser>
        <c:ser>
          <c:idx val="6"/>
          <c:order val="6"/>
          <c:tx>
            <c:strRef>
              <c:f>Sheet1!$A$9:$C$9</c:f>
              <c:strCache>
                <c:ptCount val="1"/>
                <c:pt idx="0">
                  <c:v>Child Support Grant</c:v>
                </c:pt>
              </c:strCache>
            </c:strRef>
          </c:tx>
          <c:spPr>
            <a:noFill/>
            <a:ln w="25400" cap="flat" cmpd="sng" algn="ctr">
              <a:solidFill>
                <a:schemeClr val="accent1">
                  <a:lumMod val="60000"/>
                </a:schemeClr>
              </a:solidFill>
              <a:miter lim="800000"/>
            </a:ln>
            <a:effectLst/>
          </c:spPr>
          <c:invertIfNegative val="0"/>
          <c:cat>
            <c:strRef>
              <c:f>Sheet1!$D$2:$AJ$2</c:f>
              <c:strCache>
                <c:ptCount val="33"/>
                <c:pt idx="0">
                  <c:v>1996/97</c:v>
                </c:pt>
                <c:pt idx="2">
                  <c:v>1998/1999</c:v>
                </c:pt>
                <c:pt idx="4">
                  <c:v>2000/2001</c:v>
                </c:pt>
                <c:pt idx="6">
                  <c:v>2002/2003</c:v>
                </c:pt>
                <c:pt idx="8">
                  <c:v>2004/2005</c:v>
                </c:pt>
                <c:pt idx="10">
                  <c:v>2006/2007</c:v>
                </c:pt>
                <c:pt idx="12">
                  <c:v>2007/2008</c:v>
                </c:pt>
                <c:pt idx="14">
                  <c:v>2008/2009</c:v>
                </c:pt>
                <c:pt idx="16">
                  <c:v>2009/2010</c:v>
                </c:pt>
                <c:pt idx="18">
                  <c:v>2010/2011</c:v>
                </c:pt>
                <c:pt idx="20">
                  <c:v>2011/2012</c:v>
                </c:pt>
                <c:pt idx="22">
                  <c:v>2012/2013</c:v>
                </c:pt>
                <c:pt idx="24">
                  <c:v>2013/2014</c:v>
                </c:pt>
                <c:pt idx="26">
                  <c:v>2014/2015</c:v>
                </c:pt>
                <c:pt idx="28">
                  <c:v>2015/2016</c:v>
                </c:pt>
                <c:pt idx="30">
                  <c:v>2016/2017</c:v>
                </c:pt>
                <c:pt idx="32">
                  <c:v>2017/2018</c:v>
                </c:pt>
              </c:strCache>
            </c:strRef>
          </c:cat>
          <c:val>
            <c:numRef>
              <c:f>Sheet1!$D$9:$AJ$9</c:f>
              <c:numCache>
                <c:formatCode>General</c:formatCode>
                <c:ptCount val="33"/>
                <c:pt idx="2" formatCode="#,##0">
                  <c:v>21997</c:v>
                </c:pt>
                <c:pt idx="4" formatCode="#,##0">
                  <c:v>1111612</c:v>
                </c:pt>
                <c:pt idx="6" formatCode="#,##0">
                  <c:v>1998936</c:v>
                </c:pt>
                <c:pt idx="8" formatCode="#,##0">
                  <c:v>4165545</c:v>
                </c:pt>
                <c:pt idx="10" formatCode="#,##0">
                  <c:v>7863841</c:v>
                </c:pt>
                <c:pt idx="12" formatCode="#,##0">
                  <c:v>8189975</c:v>
                </c:pt>
                <c:pt idx="14" formatCode="#,##0">
                  <c:v>8765354</c:v>
                </c:pt>
                <c:pt idx="16" formatCode="#,##0">
                  <c:v>9570287</c:v>
                </c:pt>
                <c:pt idx="18" formatCode="#,##0">
                  <c:v>10371950</c:v>
                </c:pt>
                <c:pt idx="20" formatCode="#,##0">
                  <c:v>10927731</c:v>
                </c:pt>
                <c:pt idx="22" formatCode="#,##0">
                  <c:v>11341988</c:v>
                </c:pt>
                <c:pt idx="24" formatCode="#,##0">
                  <c:v>11125946</c:v>
                </c:pt>
                <c:pt idx="26" formatCode="#,##0">
                  <c:v>11703165</c:v>
                </c:pt>
                <c:pt idx="28" formatCode="#,##0">
                  <c:v>11972900</c:v>
                </c:pt>
                <c:pt idx="30" formatCode="#,##0">
                  <c:v>12081375</c:v>
                </c:pt>
                <c:pt idx="32" formatCode="#,##0">
                  <c:v>12269084</c:v>
                </c:pt>
              </c:numCache>
            </c:numRef>
          </c:val>
          <c:extLst xmlns:c16r2="http://schemas.microsoft.com/office/drawing/2015/06/chart">
            <c:ext xmlns:c16="http://schemas.microsoft.com/office/drawing/2014/chart" uri="{C3380CC4-5D6E-409C-BE32-E72D297353CC}">
              <c16:uniqueId val="{00000006-20C2-4FB4-9F1F-EB96A6C04B3A}"/>
            </c:ext>
          </c:extLst>
        </c:ser>
        <c:dLbls>
          <c:showLegendKey val="0"/>
          <c:showVal val="0"/>
          <c:showCatName val="0"/>
          <c:showSerName val="0"/>
          <c:showPercent val="0"/>
          <c:showBubbleSize val="0"/>
        </c:dLbls>
        <c:gapWidth val="227"/>
        <c:overlap val="-48"/>
        <c:axId val="304247552"/>
        <c:axId val="304249088"/>
      </c:barChart>
      <c:catAx>
        <c:axId val="304247552"/>
        <c:scaling>
          <c:orientation val="minMax"/>
        </c:scaling>
        <c:delete val="0"/>
        <c:axPos val="l"/>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04249088"/>
        <c:crosses val="autoZero"/>
        <c:auto val="1"/>
        <c:lblAlgn val="ctr"/>
        <c:lblOffset val="100"/>
        <c:noMultiLvlLbl val="0"/>
      </c:catAx>
      <c:valAx>
        <c:axId val="304249088"/>
        <c:scaling>
          <c:orientation val="minMax"/>
        </c:scaling>
        <c:delete val="0"/>
        <c:axPos val="b"/>
        <c:numFmt formatCode="#,##0"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04247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'[Access to Servises.xlsx]Education'!$A$3</c:f>
              <c:strCache>
                <c:ptCount val="1"/>
                <c:pt idx="0">
                  <c:v>2002</c:v>
                </c:pt>
              </c:strCache>
            </c:strRef>
          </c:tx>
          <c:spPr>
            <a:solidFill>
              <a:schemeClr val="accent1"/>
            </a:solidFill>
            <a:ln>
              <a:noFill/>
            </a:ln>
            <a:effectLst/>
          </c:spPr>
          <c:invertIfNegative val="0"/>
          <c:cat>
            <c:strRef>
              <c:f>'[Access to Servises.xlsx]Education'!$B$2:$M$2</c:f>
              <c:strCache>
                <c:ptCount val="12"/>
                <c:pt idx="0">
                  <c:v>20-39 Male</c:v>
                </c:pt>
                <c:pt idx="1">
                  <c:v>20-39 Female</c:v>
                </c:pt>
                <c:pt idx="2">
                  <c:v>40-59 Male</c:v>
                </c:pt>
                <c:pt idx="3">
                  <c:v>40-59 Female</c:v>
                </c:pt>
                <c:pt idx="4">
                  <c:v>60+Male</c:v>
                </c:pt>
                <c:pt idx="5">
                  <c:v>60+ Female</c:v>
                </c:pt>
                <c:pt idx="6">
                  <c:v>20+ Male</c:v>
                </c:pt>
                <c:pt idx="7">
                  <c:v>20+ Female</c:v>
                </c:pt>
                <c:pt idx="8">
                  <c:v>20+ South Africa</c:v>
                </c:pt>
                <c:pt idx="9">
                  <c:v>20-39 South Africa</c:v>
                </c:pt>
                <c:pt idx="10">
                  <c:v>40-59 South Afroca</c:v>
                </c:pt>
                <c:pt idx="11">
                  <c:v>60+ South Africa</c:v>
                </c:pt>
              </c:strCache>
            </c:strRef>
          </c:cat>
          <c:val>
            <c:numRef>
              <c:f>'[Access to Servises.xlsx]Education'!$B$3:$M$3</c:f>
              <c:numCache>
                <c:formatCode>General</c:formatCode>
                <c:ptCount val="12"/>
                <c:pt idx="0">
                  <c:v>17.100000000000001</c:v>
                </c:pt>
                <c:pt idx="1">
                  <c:v>15.8</c:v>
                </c:pt>
                <c:pt idx="2">
                  <c:v>36.1</c:v>
                </c:pt>
                <c:pt idx="3">
                  <c:v>41</c:v>
                </c:pt>
                <c:pt idx="4">
                  <c:v>53.3</c:v>
                </c:pt>
                <c:pt idx="5">
                  <c:v>60.7</c:v>
                </c:pt>
                <c:pt idx="6">
                  <c:v>26.7</c:v>
                </c:pt>
                <c:pt idx="7">
                  <c:v>30</c:v>
                </c:pt>
                <c:pt idx="8">
                  <c:v>28.5</c:v>
                </c:pt>
                <c:pt idx="9">
                  <c:v>16.399999999999999</c:v>
                </c:pt>
                <c:pt idx="10">
                  <c:v>38.700000000000003</c:v>
                </c:pt>
                <c:pt idx="11">
                  <c:v>57.8</c:v>
                </c:pt>
              </c:numCache>
            </c:numRef>
          </c:val>
          <c:extLst xmlns:c16r2="http://schemas.microsoft.com/office/drawing/2015/06/chart">
            <c:ext xmlns:c16="http://schemas.microsoft.com/office/drawing/2014/chart" uri="{C3380CC4-5D6E-409C-BE32-E72D297353CC}">
              <c16:uniqueId val="{00000000-0A6C-414A-A096-C27B367167F1}"/>
            </c:ext>
          </c:extLst>
        </c:ser>
        <c:ser>
          <c:idx val="1"/>
          <c:order val="1"/>
          <c:tx>
            <c:strRef>
              <c:f>'[Access to Servises.xlsx]Education'!$A$4</c:f>
              <c:strCache>
                <c:ptCount val="1"/>
                <c:pt idx="0">
                  <c:v>2017</c:v>
                </c:pt>
              </c:strCache>
            </c:strRef>
          </c:tx>
          <c:spPr>
            <a:solidFill>
              <a:schemeClr val="accent2"/>
            </a:solidFill>
            <a:ln>
              <a:noFill/>
            </a:ln>
            <a:effectLst/>
          </c:spPr>
          <c:invertIfNegative val="0"/>
          <c:cat>
            <c:strRef>
              <c:f>'[Access to Servises.xlsx]Education'!$B$2:$M$2</c:f>
              <c:strCache>
                <c:ptCount val="12"/>
                <c:pt idx="0">
                  <c:v>20-39 Male</c:v>
                </c:pt>
                <c:pt idx="1">
                  <c:v>20-39 Female</c:v>
                </c:pt>
                <c:pt idx="2">
                  <c:v>40-59 Male</c:v>
                </c:pt>
                <c:pt idx="3">
                  <c:v>40-59 Female</c:v>
                </c:pt>
                <c:pt idx="4">
                  <c:v>60+Male</c:v>
                </c:pt>
                <c:pt idx="5">
                  <c:v>60+ Female</c:v>
                </c:pt>
                <c:pt idx="6">
                  <c:v>20+ Male</c:v>
                </c:pt>
                <c:pt idx="7">
                  <c:v>20+ Female</c:v>
                </c:pt>
                <c:pt idx="8">
                  <c:v>20+ South Africa</c:v>
                </c:pt>
                <c:pt idx="9">
                  <c:v>20-39 South Africa</c:v>
                </c:pt>
                <c:pt idx="10">
                  <c:v>40-59 South Afroca</c:v>
                </c:pt>
                <c:pt idx="11">
                  <c:v>60+ South Africa</c:v>
                </c:pt>
              </c:strCache>
            </c:strRef>
          </c:cat>
          <c:val>
            <c:numRef>
              <c:f>'[Access to Servises.xlsx]Education'!$B$4:$M$4</c:f>
              <c:numCache>
                <c:formatCode>General</c:formatCode>
                <c:ptCount val="12"/>
                <c:pt idx="0">
                  <c:v>6</c:v>
                </c:pt>
                <c:pt idx="1">
                  <c:v>3.5</c:v>
                </c:pt>
                <c:pt idx="2">
                  <c:v>16.8</c:v>
                </c:pt>
                <c:pt idx="3">
                  <c:v>19.5</c:v>
                </c:pt>
                <c:pt idx="4">
                  <c:v>37.6</c:v>
                </c:pt>
                <c:pt idx="5">
                  <c:v>44.7</c:v>
                </c:pt>
                <c:pt idx="6">
                  <c:v>12.7</c:v>
                </c:pt>
                <c:pt idx="7">
                  <c:v>14.6</c:v>
                </c:pt>
                <c:pt idx="8">
                  <c:v>13.7</c:v>
                </c:pt>
                <c:pt idx="9">
                  <c:v>4.8</c:v>
                </c:pt>
                <c:pt idx="10">
                  <c:v>18.2</c:v>
                </c:pt>
                <c:pt idx="11">
                  <c:v>41.9</c:v>
                </c:pt>
              </c:numCache>
            </c:numRef>
          </c:val>
          <c:extLst xmlns:c16r2="http://schemas.microsoft.com/office/drawing/2015/06/chart">
            <c:ext xmlns:c16="http://schemas.microsoft.com/office/drawing/2014/chart" uri="{C3380CC4-5D6E-409C-BE32-E72D297353CC}">
              <c16:uniqueId val="{00000001-0A6C-414A-A096-C27B367167F1}"/>
            </c:ext>
          </c:extLst>
        </c:ser>
        <c:dLbls>
          <c:showLegendKey val="0"/>
          <c:showVal val="0"/>
          <c:showCatName val="0"/>
          <c:showSerName val="0"/>
          <c:showPercent val="0"/>
          <c:showBubbleSize val="0"/>
        </c:dLbls>
        <c:gapWidth val="219"/>
        <c:overlap val="-27"/>
        <c:axId val="305261184"/>
        <c:axId val="305267072"/>
      </c:barChart>
      <c:catAx>
        <c:axId val="305261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267072"/>
        <c:crosses val="autoZero"/>
        <c:auto val="1"/>
        <c:lblAlgn val="ctr"/>
        <c:lblOffset val="100"/>
        <c:noMultiLvlLbl val="0"/>
      </c:catAx>
      <c:valAx>
        <c:axId val="30526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261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4"/>
          <c:tx>
            <c:strRef>
              <c:f>'[Access to Servises.xlsx]Education'!$A$73</c:f>
              <c:strCache>
                <c:ptCount val="1"/>
                <c:pt idx="0">
                  <c:v>Men</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'[Access to Servises.xlsx]Education'!$B$68:$M$68</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'[Access to Servises.xlsx]Education'!$B$73:$M$73</c:f>
              <c:numCache>
                <c:formatCode>0.0</c:formatCode>
                <c:ptCount val="12"/>
                <c:pt idx="0">
                  <c:v>45.441745241629064</c:v>
                </c:pt>
                <c:pt idx="1">
                  <c:v>44.870646631956625</c:v>
                </c:pt>
                <c:pt idx="2">
                  <c:v>44.482124321696517</c:v>
                </c:pt>
                <c:pt idx="3">
                  <c:v>43.629563846952436</c:v>
                </c:pt>
                <c:pt idx="4">
                  <c:v>42.920627038873022</c:v>
                </c:pt>
                <c:pt idx="5">
                  <c:v>42.595440022487438</c:v>
                </c:pt>
                <c:pt idx="6">
                  <c:v>42.114261351524199</c:v>
                </c:pt>
                <c:pt idx="7">
                  <c:v>41.785114535444158</c:v>
                </c:pt>
                <c:pt idx="8">
                  <c:v>41.678238646413838</c:v>
                </c:pt>
                <c:pt idx="9">
                  <c:v>41.723503179061325</c:v>
                </c:pt>
                <c:pt idx="10">
                  <c:v>41.668493684607981</c:v>
                </c:pt>
                <c:pt idx="11">
                  <c:v>41.881687208007072</c:v>
                </c:pt>
              </c:numCache>
            </c:numRef>
          </c:val>
          <c:smooth val="0"/>
          <c:extLst xmlns:c16r2="http://schemas.microsoft.com/office/drawing/2015/06/chart">
            <c:ext xmlns:c16="http://schemas.microsoft.com/office/drawing/2014/chart" uri="{C3380CC4-5D6E-409C-BE32-E72D297353CC}">
              <c16:uniqueId val="{00000000-A8B6-4A80-95D7-5A378BAB6917}"/>
            </c:ext>
          </c:extLst>
        </c:ser>
        <c:ser>
          <c:idx val="0"/>
          <c:order val="0"/>
          <c:tx>
            <c:strRef>
              <c:f>'[Access to Servises.xlsx]Education'!$A$69</c:f>
              <c:strCache>
                <c:ptCount val="1"/>
                <c:pt idx="0">
                  <c:v>Men</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'[Access to Servises.xlsx]Education'!$B$68:$M$68</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'[Access to Servises.xlsx]Education'!$B$69:$M$69</c:f>
            </c:numRef>
          </c:val>
          <c:smooth val="0"/>
          <c:extLst xmlns:c16r2="http://schemas.microsoft.com/office/drawing/2015/06/chart">
            <c:ext xmlns:c16="http://schemas.microsoft.com/office/drawing/2014/chart" uri="{C3380CC4-5D6E-409C-BE32-E72D297353CC}">
              <c16:uniqueId val="{00000001-A8B6-4A80-95D7-5A378BAB6917}"/>
            </c:ext>
          </c:extLst>
        </c:ser>
        <c:ser>
          <c:idx val="5"/>
          <c:order val="5"/>
          <c:tx>
            <c:strRef>
              <c:f>'[Access to Servises.xlsx]Education'!$A$74</c:f>
              <c:strCache>
                <c:ptCount val="1"/>
                <c:pt idx="0">
                  <c:v>Women</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'[Access to Servises.xlsx]Education'!$B$68:$M$68</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'[Access to Servises.xlsx]Education'!$B$74:$M$74</c:f>
              <c:numCache>
                <c:formatCode>0.0</c:formatCode>
                <c:ptCount val="12"/>
                <c:pt idx="0">
                  <c:v>54.558118717460715</c:v>
                </c:pt>
                <c:pt idx="1">
                  <c:v>55.129353368043375</c:v>
                </c:pt>
                <c:pt idx="2">
                  <c:v>55.517087335269153</c:v>
                </c:pt>
                <c:pt idx="3">
                  <c:v>56.36730915958924</c:v>
                </c:pt>
                <c:pt idx="4">
                  <c:v>57.076508243820868</c:v>
                </c:pt>
                <c:pt idx="5">
                  <c:v>57.402320192890258</c:v>
                </c:pt>
                <c:pt idx="6">
                  <c:v>57.876465572372624</c:v>
                </c:pt>
                <c:pt idx="7">
                  <c:v>58.197578492363434</c:v>
                </c:pt>
                <c:pt idx="8">
                  <c:v>58.320541466994946</c:v>
                </c:pt>
                <c:pt idx="9">
                  <c:v>58.275980907059143</c:v>
                </c:pt>
                <c:pt idx="10">
                  <c:v>58.330288303431146</c:v>
                </c:pt>
                <c:pt idx="11">
                  <c:v>58.116160793247232</c:v>
                </c:pt>
              </c:numCache>
            </c:numRef>
          </c:val>
          <c:smooth val="0"/>
          <c:extLst xmlns:c16r2="http://schemas.microsoft.com/office/drawing/2015/06/chart">
            <c:ext xmlns:c16="http://schemas.microsoft.com/office/drawing/2014/chart" uri="{C3380CC4-5D6E-409C-BE32-E72D297353CC}">
              <c16:uniqueId val="{00000002-A8B6-4A80-95D7-5A378BAB6917}"/>
            </c:ext>
          </c:extLst>
        </c:ser>
        <c:ser>
          <c:idx val="1"/>
          <c:order val="1"/>
          <c:tx>
            <c:strRef>
              <c:f>'[Access to Servises.xlsx]Education'!$A$70</c:f>
              <c:strCache>
                <c:ptCount val="1"/>
                <c:pt idx="0">
                  <c:v>Women</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'[Access to Servises.xlsx]Education'!$B$68:$M$68</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'[Access to Servises.xlsx]Education'!$B$70:$M$70</c:f>
            </c:numRef>
          </c:val>
          <c:smooth val="0"/>
          <c:extLst xmlns:c16r2="http://schemas.microsoft.com/office/drawing/2015/06/chart">
            <c:ext xmlns:c16="http://schemas.microsoft.com/office/drawing/2014/chart" uri="{C3380CC4-5D6E-409C-BE32-E72D297353CC}">
              <c16:uniqueId val="{00000003-A8B6-4A80-95D7-5A378BAB6917}"/>
            </c:ext>
          </c:extLst>
        </c:ser>
        <c:ser>
          <c:idx val="2"/>
          <c:order val="2"/>
          <c:tx>
            <c:strRef>
              <c:f>'[Access to Servises.xlsx]Education'!$A$71</c:f>
              <c:strCache>
                <c:ptCount val="1"/>
                <c:pt idx="0">
                  <c:v>Total</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'[Access to Servises.xlsx]Education'!$B$68:$M$68</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'[Access to Servises.xlsx]Education'!$B$71:$M$71</c:f>
            </c:numRef>
          </c:val>
          <c:smooth val="0"/>
          <c:extLst xmlns:c16r2="http://schemas.microsoft.com/office/drawing/2015/06/chart">
            <c:ext xmlns:c16="http://schemas.microsoft.com/office/drawing/2014/chart" uri="{C3380CC4-5D6E-409C-BE32-E72D297353CC}">
              <c16:uniqueId val="{00000004-A8B6-4A80-95D7-5A378BAB6917}"/>
            </c:ext>
          </c:extLst>
        </c:ser>
        <c:ser>
          <c:idx val="3"/>
          <c:order val="3"/>
          <c:tx>
            <c:strRef>
              <c:f>'[Access to Servises.xlsx]Education'!$A$72</c:f>
              <c:strCache>
                <c:ptCount val="1"/>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'[Access to Servises.xlsx]Education'!$B$68:$M$68</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'[Access to Servises.xlsx]Education'!$B$72:$M$72</c:f>
            </c:numRef>
          </c:val>
          <c:smooth val="0"/>
          <c:extLst xmlns:c16r2="http://schemas.microsoft.com/office/drawing/2015/06/chart">
            <c:ext xmlns:c16="http://schemas.microsoft.com/office/drawing/2014/chart" uri="{C3380CC4-5D6E-409C-BE32-E72D297353CC}">
              <c16:uniqueId val="{00000005-A8B6-4A80-95D7-5A378BAB6917}"/>
            </c:ext>
          </c:extLst>
        </c:ser>
        <c:dLbls>
          <c:dLblPos val="ctr"/>
          <c:showLegendKey val="0"/>
          <c:showVal val="1"/>
          <c:showCatName val="0"/>
          <c:showSerName val="0"/>
          <c:showPercent val="0"/>
          <c:showBubbleSize val="0"/>
        </c:dLbls>
        <c:marker val="1"/>
        <c:smooth val="0"/>
        <c:axId val="305346432"/>
        <c:axId val="305347968"/>
      </c:lineChart>
      <c:catAx>
        <c:axId val="3053464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05347968"/>
        <c:crosses val="autoZero"/>
        <c:auto val="1"/>
        <c:lblAlgn val="ctr"/>
        <c:lblOffset val="100"/>
        <c:noMultiLvlLbl val="0"/>
      </c:catAx>
      <c:valAx>
        <c:axId val="3053479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30534643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ZA" sz="1400"/>
              <a:t>Percentage</a:t>
            </a:r>
            <a:r>
              <a:rPr lang="en-ZA" sz="1400" baseline="0"/>
              <a:t> of 5 &amp; 6 year olds attending an educational institution in Grade R, 2002-2017</a:t>
            </a:r>
            <a:endParaRPr lang="en-ZA" sz="1400"/>
          </a:p>
        </c:rich>
      </c:tx>
      <c:layout>
        <c:manualLayout>
          <c:xMode val="edge"/>
          <c:yMode val="edge"/>
          <c:x val="9.8405294124964238E-2"/>
          <c:y val="0"/>
        </c:manualLayout>
      </c:layout>
      <c:overlay val="0"/>
    </c:title>
    <c:autoTitleDeleted val="0"/>
    <c:plotArea>
      <c:layout/>
      <c:lineChart>
        <c:grouping val="standard"/>
        <c:varyColors val="0"/>
        <c:ser>
          <c:idx val="0"/>
          <c:order val="0"/>
          <c:tx>
            <c:strRef>
              <c:f>'Slide 25'!$A$4</c:f>
              <c:strCache>
                <c:ptCount val="1"/>
                <c:pt idx="0">
                  <c:v>5 year old</c:v>
                </c:pt>
              </c:strCache>
            </c:strRef>
          </c:tx>
          <c:marker>
            <c:spPr>
              <a:ln>
                <a:headEnd type="oval"/>
                <a:tailEnd type="oval"/>
              </a:ln>
            </c:spPr>
          </c:marker>
          <c:cat>
            <c:numRef>
              <c:f>'Slide 25'!$B$3:$Q$3</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'Slide 25'!$B$4:$Q$4</c:f>
              <c:numCache>
                <c:formatCode>General</c:formatCode>
                <c:ptCount val="16"/>
                <c:pt idx="0">
                  <c:v>39.6</c:v>
                </c:pt>
                <c:pt idx="1">
                  <c:v>48.7</c:v>
                </c:pt>
                <c:pt idx="2">
                  <c:v>52.2</c:v>
                </c:pt>
                <c:pt idx="3">
                  <c:v>59.2</c:v>
                </c:pt>
                <c:pt idx="4">
                  <c:v>61.7</c:v>
                </c:pt>
                <c:pt idx="5">
                  <c:v>60.4</c:v>
                </c:pt>
                <c:pt idx="6">
                  <c:v>63.9</c:v>
                </c:pt>
                <c:pt idx="7">
                  <c:v>78.599999999999994</c:v>
                </c:pt>
                <c:pt idx="8">
                  <c:v>83.6</c:v>
                </c:pt>
                <c:pt idx="9">
                  <c:v>84.9</c:v>
                </c:pt>
                <c:pt idx="10">
                  <c:v>84.6</c:v>
                </c:pt>
                <c:pt idx="11">
                  <c:v>85.3</c:v>
                </c:pt>
                <c:pt idx="12">
                  <c:v>87.2</c:v>
                </c:pt>
                <c:pt idx="13">
                  <c:v>85.8</c:v>
                </c:pt>
                <c:pt idx="14">
                  <c:v>88.7</c:v>
                </c:pt>
                <c:pt idx="15">
                  <c:v>88</c:v>
                </c:pt>
              </c:numCache>
            </c:numRef>
          </c:val>
          <c:smooth val="0"/>
          <c:extLst xmlns:c16r2="http://schemas.microsoft.com/office/drawing/2015/06/chart">
            <c:ext xmlns:c16="http://schemas.microsoft.com/office/drawing/2014/chart" uri="{C3380CC4-5D6E-409C-BE32-E72D297353CC}">
              <c16:uniqueId val="{00000000-8234-420E-B26B-BC754E30FA03}"/>
            </c:ext>
          </c:extLst>
        </c:ser>
        <c:ser>
          <c:idx val="1"/>
          <c:order val="1"/>
          <c:tx>
            <c:strRef>
              <c:f>'Slide 25'!$A$5</c:f>
              <c:strCache>
                <c:ptCount val="1"/>
                <c:pt idx="0">
                  <c:v>6 year old</c:v>
                </c:pt>
              </c:strCache>
            </c:strRef>
          </c:tx>
          <c:cat>
            <c:numRef>
              <c:f>'Slide 25'!$B$3:$Q$3</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'Slide 25'!$B$5:$Q$5</c:f>
              <c:numCache>
                <c:formatCode>General</c:formatCode>
                <c:ptCount val="16"/>
                <c:pt idx="0">
                  <c:v>69.3</c:v>
                </c:pt>
                <c:pt idx="1">
                  <c:v>75.8</c:v>
                </c:pt>
                <c:pt idx="2">
                  <c:v>83.2</c:v>
                </c:pt>
                <c:pt idx="3">
                  <c:v>86.1</c:v>
                </c:pt>
                <c:pt idx="4">
                  <c:v>84.6</c:v>
                </c:pt>
                <c:pt idx="5">
                  <c:v>87.7</c:v>
                </c:pt>
                <c:pt idx="6">
                  <c:v>86.8</c:v>
                </c:pt>
                <c:pt idx="7">
                  <c:v>95.2</c:v>
                </c:pt>
                <c:pt idx="8">
                  <c:v>96.2</c:v>
                </c:pt>
                <c:pt idx="9">
                  <c:v>95.6</c:v>
                </c:pt>
                <c:pt idx="10">
                  <c:v>95.8</c:v>
                </c:pt>
                <c:pt idx="11">
                  <c:v>95.5</c:v>
                </c:pt>
                <c:pt idx="12">
                  <c:v>95.9</c:v>
                </c:pt>
                <c:pt idx="13">
                  <c:v>98.2</c:v>
                </c:pt>
                <c:pt idx="14">
                  <c:v>97.3</c:v>
                </c:pt>
                <c:pt idx="15">
                  <c:v>96.6</c:v>
                </c:pt>
              </c:numCache>
            </c:numRef>
          </c:val>
          <c:smooth val="0"/>
          <c:extLst xmlns:c16r2="http://schemas.microsoft.com/office/drawing/2015/06/chart">
            <c:ext xmlns:c16="http://schemas.microsoft.com/office/drawing/2014/chart" uri="{C3380CC4-5D6E-409C-BE32-E72D297353CC}">
              <c16:uniqueId val="{00000001-8234-420E-B26B-BC754E30FA03}"/>
            </c:ext>
          </c:extLst>
        </c:ser>
        <c:dLbls>
          <c:showLegendKey val="0"/>
          <c:showVal val="0"/>
          <c:showCatName val="0"/>
          <c:showSerName val="0"/>
          <c:showPercent val="0"/>
          <c:showBubbleSize val="0"/>
        </c:dLbls>
        <c:marker val="1"/>
        <c:smooth val="0"/>
        <c:axId val="305371392"/>
        <c:axId val="305377280"/>
      </c:lineChart>
      <c:catAx>
        <c:axId val="305371392"/>
        <c:scaling>
          <c:orientation val="minMax"/>
        </c:scaling>
        <c:delete val="0"/>
        <c:axPos val="b"/>
        <c:numFmt formatCode="General" sourceLinked="1"/>
        <c:majorTickMark val="none"/>
        <c:minorTickMark val="none"/>
        <c:tickLblPos val="nextTo"/>
        <c:crossAx val="305377280"/>
        <c:crosses val="autoZero"/>
        <c:auto val="1"/>
        <c:lblAlgn val="ctr"/>
        <c:lblOffset val="100"/>
        <c:noMultiLvlLbl val="0"/>
      </c:catAx>
      <c:valAx>
        <c:axId val="305377280"/>
        <c:scaling>
          <c:orientation val="minMax"/>
        </c:scaling>
        <c:delete val="0"/>
        <c:axPos val="l"/>
        <c:majorGridlines/>
        <c:title>
          <c:tx>
            <c:rich>
              <a:bodyPr/>
              <a:lstStyle/>
              <a:p>
                <a:pPr>
                  <a:defRPr/>
                </a:pPr>
                <a:r>
                  <a:rPr lang="en-ZA"/>
                  <a:t>Percentage</a:t>
                </a:r>
              </a:p>
            </c:rich>
          </c:tx>
          <c:overlay val="0"/>
        </c:title>
        <c:numFmt formatCode="General" sourceLinked="1"/>
        <c:majorTickMark val="none"/>
        <c:minorTickMark val="none"/>
        <c:tickLblPos val="nextTo"/>
        <c:crossAx val="30537139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ZA" sz="1600"/>
              <a:t>NSFAS Students as % of Undergraduate Students</a:t>
            </a:r>
          </a:p>
        </c:rich>
      </c:tx>
      <c:overlay val="0"/>
    </c:title>
    <c:autoTitleDeleted val="0"/>
    <c:plotArea>
      <c:layout/>
      <c:lineChart>
        <c:grouping val="standard"/>
        <c:varyColors val="0"/>
        <c:ser>
          <c:idx val="0"/>
          <c:order val="0"/>
          <c:tx>
            <c:strRef>
              <c:f>'[Access to Servises.xlsx]Education'!$A$53</c:f>
              <c:strCache>
                <c:ptCount val="1"/>
                <c:pt idx="0">
                  <c:v>Male </c:v>
                </c:pt>
              </c:strCache>
            </c:strRef>
          </c:tx>
          <c:marker>
            <c:symbol val="none"/>
          </c:marker>
          <c:cat>
            <c:numRef>
              <c:f>'[Access to Servises.xlsx]Education'!$B$52:$P$52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'[Access to Servises.xlsx]Education'!$B$53:$P$53</c:f>
              <c:numCache>
                <c:formatCode>General</c:formatCode>
                <c:ptCount val="15"/>
                <c:pt idx="0">
                  <c:v>16.3</c:v>
                </c:pt>
                <c:pt idx="1">
                  <c:v>15.4</c:v>
                </c:pt>
                <c:pt idx="2">
                  <c:v>15.7</c:v>
                </c:pt>
                <c:pt idx="3">
                  <c:v>17</c:v>
                </c:pt>
                <c:pt idx="4">
                  <c:v>16.600000000000001</c:v>
                </c:pt>
                <c:pt idx="5">
                  <c:v>17.7</c:v>
                </c:pt>
                <c:pt idx="6">
                  <c:v>18</c:v>
                </c:pt>
                <c:pt idx="7">
                  <c:v>18</c:v>
                </c:pt>
                <c:pt idx="8">
                  <c:v>17.8</c:v>
                </c:pt>
                <c:pt idx="9">
                  <c:v>19.399999999999999</c:v>
                </c:pt>
                <c:pt idx="10">
                  <c:v>19.7</c:v>
                </c:pt>
                <c:pt idx="11">
                  <c:v>18.100000000000001</c:v>
                </c:pt>
                <c:pt idx="12">
                  <c:v>24</c:v>
                </c:pt>
                <c:pt idx="13">
                  <c:v>23.5</c:v>
                </c:pt>
                <c:pt idx="14">
                  <c:v>23.3</c:v>
                </c:pt>
              </c:numCache>
            </c:numRef>
          </c:val>
          <c:smooth val="0"/>
          <c:extLst xmlns:c16r2="http://schemas.microsoft.com/office/drawing/2015/06/chart">
            <c:ext xmlns:c16="http://schemas.microsoft.com/office/drawing/2014/chart" uri="{C3380CC4-5D6E-409C-BE32-E72D297353CC}">
              <c16:uniqueId val="{00000000-3A32-423E-96C0-9E64255EDA98}"/>
            </c:ext>
          </c:extLst>
        </c:ser>
        <c:ser>
          <c:idx val="1"/>
          <c:order val="1"/>
          <c:tx>
            <c:strRef>
              <c:f>'[Access to Servises.xlsx]Education'!$A$54</c:f>
              <c:strCache>
                <c:ptCount val="1"/>
                <c:pt idx="0">
                  <c:v>Female</c:v>
                </c:pt>
              </c:strCache>
            </c:strRef>
          </c:tx>
          <c:marker>
            <c:symbol val="none"/>
          </c:marker>
          <c:cat>
            <c:numRef>
              <c:f>'[Access to Servises.xlsx]Education'!$B$52:$P$52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'[Access to Servises.xlsx]Education'!$B$54:$P$54</c:f>
              <c:numCache>
                <c:formatCode>General</c:formatCode>
                <c:ptCount val="15"/>
                <c:pt idx="0">
                  <c:v>18.5</c:v>
                </c:pt>
                <c:pt idx="1">
                  <c:v>16.100000000000001</c:v>
                </c:pt>
                <c:pt idx="2">
                  <c:v>16.3</c:v>
                </c:pt>
                <c:pt idx="3">
                  <c:v>17.2</c:v>
                </c:pt>
                <c:pt idx="4">
                  <c:v>16.5</c:v>
                </c:pt>
                <c:pt idx="5">
                  <c:v>17.899999999999999</c:v>
                </c:pt>
                <c:pt idx="6">
                  <c:v>17.7</c:v>
                </c:pt>
                <c:pt idx="7">
                  <c:v>18.3</c:v>
                </c:pt>
                <c:pt idx="8">
                  <c:v>18.100000000000001</c:v>
                </c:pt>
                <c:pt idx="9">
                  <c:v>20</c:v>
                </c:pt>
                <c:pt idx="10">
                  <c:v>20.9</c:v>
                </c:pt>
                <c:pt idx="11">
                  <c:v>19.5</c:v>
                </c:pt>
                <c:pt idx="12">
                  <c:v>25.5</c:v>
                </c:pt>
                <c:pt idx="13">
                  <c:v>24.9</c:v>
                </c:pt>
                <c:pt idx="14">
                  <c:v>23.7</c:v>
                </c:pt>
              </c:numCache>
            </c:numRef>
          </c:val>
          <c:smooth val="0"/>
          <c:extLst xmlns:c16r2="http://schemas.microsoft.com/office/drawing/2015/06/chart">
            <c:ext xmlns:c16="http://schemas.microsoft.com/office/drawing/2014/chart" uri="{C3380CC4-5D6E-409C-BE32-E72D297353CC}">
              <c16:uniqueId val="{00000001-3A32-423E-96C0-9E64255EDA98}"/>
            </c:ext>
          </c:extLst>
        </c:ser>
        <c:dLbls>
          <c:showLegendKey val="0"/>
          <c:showVal val="0"/>
          <c:showCatName val="0"/>
          <c:showSerName val="0"/>
          <c:showPercent val="0"/>
          <c:showBubbleSize val="0"/>
        </c:dLbls>
        <c:marker val="1"/>
        <c:smooth val="0"/>
        <c:axId val="310417280"/>
        <c:axId val="310418816"/>
      </c:lineChart>
      <c:catAx>
        <c:axId val="310417280"/>
        <c:scaling>
          <c:orientation val="minMax"/>
        </c:scaling>
        <c:delete val="0"/>
        <c:axPos val="b"/>
        <c:numFmt formatCode="General" sourceLinked="1"/>
        <c:majorTickMark val="out"/>
        <c:minorTickMark val="none"/>
        <c:tickLblPos val="nextTo"/>
        <c:crossAx val="310418816"/>
        <c:crosses val="autoZero"/>
        <c:auto val="1"/>
        <c:lblAlgn val="ctr"/>
        <c:lblOffset val="100"/>
        <c:noMultiLvlLbl val="0"/>
      </c:catAx>
      <c:valAx>
        <c:axId val="310418816"/>
        <c:scaling>
          <c:orientation val="minMax"/>
          <c:min val="10"/>
        </c:scaling>
        <c:delete val="0"/>
        <c:axPos val="l"/>
        <c:majorGridlines/>
        <c:numFmt formatCode="General" sourceLinked="1"/>
        <c:majorTickMark val="out"/>
        <c:minorTickMark val="none"/>
        <c:tickLblPos val="nextTo"/>
        <c:crossAx val="310417280"/>
        <c:crosses val="autoZero"/>
        <c:crossBetween val="between"/>
        <c:majorUnit val="10"/>
      </c:valAx>
      <c:dTable>
        <c:showHorzBorder val="1"/>
        <c:showVertBorder val="1"/>
        <c:showOutline val="1"/>
        <c:showKeys val="1"/>
      </c:dTable>
    </c:plotArea>
    <c:legend>
      <c:legendPos val="b"/>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ZA" sz="1400"/>
              <a:t>Percentage</a:t>
            </a:r>
            <a:r>
              <a:rPr lang="en-ZA" sz="1400" baseline="0"/>
              <a:t> of learners benefiting from the school feeding scheme </a:t>
            </a:r>
            <a:endParaRPr lang="en-ZA"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'Slide 29'!$B$3</c:f>
              <c:strCache>
                <c:ptCount val="1"/>
                <c:pt idx="0">
                  <c:v>2010</c:v>
                </c:pt>
              </c:strCache>
            </c:strRef>
          </c:tx>
          <c:invertIfNegative val="0"/>
          <c:cat>
            <c:strRef>
              <c:f>'Slide 29'!$A$4:$A$13</c:f>
              <c:strCache>
                <c:ptCount val="10"/>
                <c:pt idx="0">
                  <c:v>EC</c:v>
                </c:pt>
                <c:pt idx="1">
                  <c:v>FS</c:v>
                </c:pt>
                <c:pt idx="2">
                  <c:v>GP</c:v>
                </c:pt>
                <c:pt idx="3">
                  <c:v>KZN</c:v>
                </c:pt>
                <c:pt idx="4">
                  <c:v>LP</c:v>
                </c:pt>
                <c:pt idx="5">
                  <c:v>MP</c:v>
                </c:pt>
                <c:pt idx="6">
                  <c:v>NW</c:v>
                </c:pt>
                <c:pt idx="7">
                  <c:v>NC</c:v>
                </c:pt>
                <c:pt idx="8">
                  <c:v>WC</c:v>
                </c:pt>
                <c:pt idx="9">
                  <c:v>National</c:v>
                </c:pt>
              </c:strCache>
            </c:strRef>
          </c:cat>
          <c:val>
            <c:numRef>
              <c:f>'Slide 29'!$B$4:$B$13</c:f>
              <c:numCache>
                <c:formatCode>General</c:formatCode>
                <c:ptCount val="10"/>
                <c:pt idx="0">
                  <c:v>75.3</c:v>
                </c:pt>
                <c:pt idx="1">
                  <c:v>65.8</c:v>
                </c:pt>
                <c:pt idx="2">
                  <c:v>53.8</c:v>
                </c:pt>
                <c:pt idx="3">
                  <c:v>67.5</c:v>
                </c:pt>
                <c:pt idx="4">
                  <c:v>84.7</c:v>
                </c:pt>
                <c:pt idx="5">
                  <c:v>75.5</c:v>
                </c:pt>
                <c:pt idx="6">
                  <c:v>69.599999999999994</c:v>
                </c:pt>
                <c:pt idx="7">
                  <c:v>89.3</c:v>
                </c:pt>
                <c:pt idx="8">
                  <c:v>66.7</c:v>
                </c:pt>
                <c:pt idx="9">
                  <c:v>69.900000000000006</c:v>
                </c:pt>
              </c:numCache>
            </c:numRef>
          </c:val>
          <c:extLst xmlns:c16r2="http://schemas.microsoft.com/office/drawing/2015/06/chart">
            <c:ext xmlns:c16="http://schemas.microsoft.com/office/drawing/2014/chart" uri="{C3380CC4-5D6E-409C-BE32-E72D297353CC}">
              <c16:uniqueId val="{00000000-02D5-407D-B2D6-1B38A3B35428}"/>
            </c:ext>
          </c:extLst>
        </c:ser>
        <c:ser>
          <c:idx val="1"/>
          <c:order val="1"/>
          <c:tx>
            <c:strRef>
              <c:f>'Slide 29'!$C$3</c:f>
              <c:strCache>
                <c:ptCount val="1"/>
                <c:pt idx="0">
                  <c:v>2011</c:v>
                </c:pt>
              </c:strCache>
            </c:strRef>
          </c:tx>
          <c:invertIfNegative val="0"/>
          <c:cat>
            <c:strRef>
              <c:f>'Slide 29'!$A$4:$A$13</c:f>
              <c:strCache>
                <c:ptCount val="10"/>
                <c:pt idx="0">
                  <c:v>EC</c:v>
                </c:pt>
                <c:pt idx="1">
                  <c:v>FS</c:v>
                </c:pt>
                <c:pt idx="2">
                  <c:v>GP</c:v>
                </c:pt>
                <c:pt idx="3">
                  <c:v>KZN</c:v>
                </c:pt>
                <c:pt idx="4">
                  <c:v>LP</c:v>
                </c:pt>
                <c:pt idx="5">
                  <c:v>MP</c:v>
                </c:pt>
                <c:pt idx="6">
                  <c:v>NW</c:v>
                </c:pt>
                <c:pt idx="7">
                  <c:v>NC</c:v>
                </c:pt>
                <c:pt idx="8">
                  <c:v>WC</c:v>
                </c:pt>
                <c:pt idx="9">
                  <c:v>National</c:v>
                </c:pt>
              </c:strCache>
            </c:strRef>
          </c:cat>
          <c:val>
            <c:numRef>
              <c:f>'Slide 29'!$C$4:$C$13</c:f>
              <c:numCache>
                <c:formatCode>General</c:formatCode>
                <c:ptCount val="10"/>
                <c:pt idx="0">
                  <c:v>82.9</c:v>
                </c:pt>
                <c:pt idx="1">
                  <c:v>75.3</c:v>
                </c:pt>
                <c:pt idx="2">
                  <c:v>55.3</c:v>
                </c:pt>
                <c:pt idx="3" formatCode="_ * #,##0.0_ ;_ * \-#,##0.0_ ;_ * &quot;-&quot;??_ ;_ @_ ">
                  <c:v>76</c:v>
                </c:pt>
                <c:pt idx="4">
                  <c:v>94.4</c:v>
                </c:pt>
                <c:pt idx="5">
                  <c:v>84.2</c:v>
                </c:pt>
                <c:pt idx="6">
                  <c:v>80.7</c:v>
                </c:pt>
                <c:pt idx="7">
                  <c:v>89.7</c:v>
                </c:pt>
                <c:pt idx="8" formatCode="_ * #,##0.0_ ;_ * \-#,##0.0_ ;_ * &quot;-&quot;??_ ;_ @_ ">
                  <c:v>64</c:v>
                </c:pt>
                <c:pt idx="9">
                  <c:v>76.2</c:v>
                </c:pt>
              </c:numCache>
            </c:numRef>
          </c:val>
          <c:extLst xmlns:c16r2="http://schemas.microsoft.com/office/drawing/2015/06/chart">
            <c:ext xmlns:c16="http://schemas.microsoft.com/office/drawing/2014/chart" uri="{C3380CC4-5D6E-409C-BE32-E72D297353CC}">
              <c16:uniqueId val="{00000001-02D5-407D-B2D6-1B38A3B35428}"/>
            </c:ext>
          </c:extLst>
        </c:ser>
        <c:ser>
          <c:idx val="2"/>
          <c:order val="2"/>
          <c:tx>
            <c:strRef>
              <c:f>'Slide 29'!$D$3</c:f>
              <c:strCache>
                <c:ptCount val="1"/>
                <c:pt idx="0">
                  <c:v>2012</c:v>
                </c:pt>
              </c:strCache>
            </c:strRef>
          </c:tx>
          <c:invertIfNegative val="0"/>
          <c:cat>
            <c:strRef>
              <c:f>'Slide 29'!$A$4:$A$13</c:f>
              <c:strCache>
                <c:ptCount val="10"/>
                <c:pt idx="0">
                  <c:v>EC</c:v>
                </c:pt>
                <c:pt idx="1">
                  <c:v>FS</c:v>
                </c:pt>
                <c:pt idx="2">
                  <c:v>GP</c:v>
                </c:pt>
                <c:pt idx="3">
                  <c:v>KZN</c:v>
                </c:pt>
                <c:pt idx="4">
                  <c:v>LP</c:v>
                </c:pt>
                <c:pt idx="5">
                  <c:v>MP</c:v>
                </c:pt>
                <c:pt idx="6">
                  <c:v>NW</c:v>
                </c:pt>
                <c:pt idx="7">
                  <c:v>NC</c:v>
                </c:pt>
                <c:pt idx="8">
                  <c:v>WC</c:v>
                </c:pt>
                <c:pt idx="9">
                  <c:v>National</c:v>
                </c:pt>
              </c:strCache>
            </c:strRef>
          </c:cat>
          <c:val>
            <c:numRef>
              <c:f>'Slide 29'!$D$4:$D$13</c:f>
              <c:numCache>
                <c:formatCode>_ * #,##0.0_ ;_ * \-#,##0.0_ ;_ * "-"??_ ;_ @_ </c:formatCode>
                <c:ptCount val="10"/>
                <c:pt idx="0" formatCode="General">
                  <c:v>85.3</c:v>
                </c:pt>
                <c:pt idx="1">
                  <c:v>77</c:v>
                </c:pt>
                <c:pt idx="2" formatCode="General">
                  <c:v>55.3</c:v>
                </c:pt>
                <c:pt idx="3" formatCode="General">
                  <c:v>79.2</c:v>
                </c:pt>
                <c:pt idx="4" formatCode="General">
                  <c:v>94.7</c:v>
                </c:pt>
                <c:pt idx="5" formatCode="General">
                  <c:v>85.9</c:v>
                </c:pt>
                <c:pt idx="6" formatCode="General">
                  <c:v>83.4</c:v>
                </c:pt>
                <c:pt idx="7">
                  <c:v>88</c:v>
                </c:pt>
                <c:pt idx="8" formatCode="General">
                  <c:v>63.4</c:v>
                </c:pt>
                <c:pt idx="9" formatCode="General">
                  <c:v>77.400000000000006</c:v>
                </c:pt>
              </c:numCache>
            </c:numRef>
          </c:val>
          <c:extLst xmlns:c16r2="http://schemas.microsoft.com/office/drawing/2015/06/chart">
            <c:ext xmlns:c16="http://schemas.microsoft.com/office/drawing/2014/chart" uri="{C3380CC4-5D6E-409C-BE32-E72D297353CC}">
              <c16:uniqueId val="{00000002-02D5-407D-B2D6-1B38A3B35428}"/>
            </c:ext>
          </c:extLst>
        </c:ser>
        <c:ser>
          <c:idx val="3"/>
          <c:order val="3"/>
          <c:tx>
            <c:strRef>
              <c:f>'Slide 29'!$E$3</c:f>
              <c:strCache>
                <c:ptCount val="1"/>
                <c:pt idx="0">
                  <c:v>2013</c:v>
                </c:pt>
              </c:strCache>
            </c:strRef>
          </c:tx>
          <c:invertIfNegative val="0"/>
          <c:cat>
            <c:strRef>
              <c:f>'Slide 29'!$A$4:$A$13</c:f>
              <c:strCache>
                <c:ptCount val="10"/>
                <c:pt idx="0">
                  <c:v>EC</c:v>
                </c:pt>
                <c:pt idx="1">
                  <c:v>FS</c:v>
                </c:pt>
                <c:pt idx="2">
                  <c:v>GP</c:v>
                </c:pt>
                <c:pt idx="3">
                  <c:v>KZN</c:v>
                </c:pt>
                <c:pt idx="4">
                  <c:v>LP</c:v>
                </c:pt>
                <c:pt idx="5">
                  <c:v>MP</c:v>
                </c:pt>
                <c:pt idx="6">
                  <c:v>NW</c:v>
                </c:pt>
                <c:pt idx="7">
                  <c:v>NC</c:v>
                </c:pt>
                <c:pt idx="8">
                  <c:v>WC</c:v>
                </c:pt>
                <c:pt idx="9">
                  <c:v>National</c:v>
                </c:pt>
              </c:strCache>
            </c:strRef>
          </c:cat>
          <c:val>
            <c:numRef>
              <c:f>'Slide 29'!$E$4:$E$13</c:f>
              <c:numCache>
                <c:formatCode>General</c:formatCode>
                <c:ptCount val="10"/>
                <c:pt idx="0">
                  <c:v>86.7</c:v>
                </c:pt>
                <c:pt idx="1">
                  <c:v>78.7</c:v>
                </c:pt>
                <c:pt idx="2">
                  <c:v>59.8</c:v>
                </c:pt>
                <c:pt idx="3">
                  <c:v>80.5</c:v>
                </c:pt>
                <c:pt idx="4">
                  <c:v>93.5</c:v>
                </c:pt>
                <c:pt idx="5">
                  <c:v>85.7</c:v>
                </c:pt>
                <c:pt idx="6">
                  <c:v>82.8</c:v>
                </c:pt>
                <c:pt idx="7">
                  <c:v>84.7</c:v>
                </c:pt>
                <c:pt idx="8" formatCode="_ * #,##0.0_ ;_ * \-#,##0.0_ ;_ * &quot;-&quot;??_ ;_ @_ ">
                  <c:v>66</c:v>
                </c:pt>
                <c:pt idx="9">
                  <c:v>78.7</c:v>
                </c:pt>
              </c:numCache>
            </c:numRef>
          </c:val>
          <c:extLst xmlns:c16r2="http://schemas.microsoft.com/office/drawing/2015/06/chart">
            <c:ext xmlns:c16="http://schemas.microsoft.com/office/drawing/2014/chart" uri="{C3380CC4-5D6E-409C-BE32-E72D297353CC}">
              <c16:uniqueId val="{00000003-02D5-407D-B2D6-1B38A3B35428}"/>
            </c:ext>
          </c:extLst>
        </c:ser>
        <c:ser>
          <c:idx val="4"/>
          <c:order val="4"/>
          <c:tx>
            <c:strRef>
              <c:f>'Slide 29'!$F$3</c:f>
              <c:strCache>
                <c:ptCount val="1"/>
                <c:pt idx="0">
                  <c:v>2014</c:v>
                </c:pt>
              </c:strCache>
            </c:strRef>
          </c:tx>
          <c:invertIfNegative val="0"/>
          <c:cat>
            <c:strRef>
              <c:f>'Slide 29'!$A$4:$A$13</c:f>
              <c:strCache>
                <c:ptCount val="10"/>
                <c:pt idx="0">
                  <c:v>EC</c:v>
                </c:pt>
                <c:pt idx="1">
                  <c:v>FS</c:v>
                </c:pt>
                <c:pt idx="2">
                  <c:v>GP</c:v>
                </c:pt>
                <c:pt idx="3">
                  <c:v>KZN</c:v>
                </c:pt>
                <c:pt idx="4">
                  <c:v>LP</c:v>
                </c:pt>
                <c:pt idx="5">
                  <c:v>MP</c:v>
                </c:pt>
                <c:pt idx="6">
                  <c:v>NW</c:v>
                </c:pt>
                <c:pt idx="7">
                  <c:v>NC</c:v>
                </c:pt>
                <c:pt idx="8">
                  <c:v>WC</c:v>
                </c:pt>
                <c:pt idx="9">
                  <c:v>National</c:v>
                </c:pt>
              </c:strCache>
            </c:strRef>
          </c:cat>
          <c:val>
            <c:numRef>
              <c:f>'Slide 29'!$F$4:$F$13</c:f>
              <c:numCache>
                <c:formatCode>_ * #,##0.0_ ;_ * \-#,##0.0_ ;_ * "-"??_ ;_ @_ </c:formatCode>
                <c:ptCount val="10"/>
                <c:pt idx="0" formatCode="General">
                  <c:v>88.3</c:v>
                </c:pt>
                <c:pt idx="1">
                  <c:v>78</c:v>
                </c:pt>
                <c:pt idx="2" formatCode="General">
                  <c:v>63.4</c:v>
                </c:pt>
                <c:pt idx="3" formatCode="General">
                  <c:v>79.400000000000006</c:v>
                </c:pt>
                <c:pt idx="4" formatCode="General">
                  <c:v>94.3</c:v>
                </c:pt>
                <c:pt idx="5" formatCode="General">
                  <c:v>88.8</c:v>
                </c:pt>
                <c:pt idx="6" formatCode="General">
                  <c:v>85.3</c:v>
                </c:pt>
                <c:pt idx="7">
                  <c:v>84</c:v>
                </c:pt>
                <c:pt idx="8">
                  <c:v>65</c:v>
                </c:pt>
                <c:pt idx="9" formatCode="General">
                  <c:v>79.7</c:v>
                </c:pt>
              </c:numCache>
            </c:numRef>
          </c:val>
          <c:extLst xmlns:c16r2="http://schemas.microsoft.com/office/drawing/2015/06/chart">
            <c:ext xmlns:c16="http://schemas.microsoft.com/office/drawing/2014/chart" uri="{C3380CC4-5D6E-409C-BE32-E72D297353CC}">
              <c16:uniqueId val="{00000004-02D5-407D-B2D6-1B38A3B35428}"/>
            </c:ext>
          </c:extLst>
        </c:ser>
        <c:ser>
          <c:idx val="5"/>
          <c:order val="5"/>
          <c:tx>
            <c:strRef>
              <c:f>'Slide 29'!$G$3</c:f>
              <c:strCache>
                <c:ptCount val="1"/>
                <c:pt idx="0">
                  <c:v>2015</c:v>
                </c:pt>
              </c:strCache>
            </c:strRef>
          </c:tx>
          <c:invertIfNegative val="0"/>
          <c:cat>
            <c:strRef>
              <c:f>'Slide 29'!$A$4:$A$13</c:f>
              <c:strCache>
                <c:ptCount val="10"/>
                <c:pt idx="0">
                  <c:v>EC</c:v>
                </c:pt>
                <c:pt idx="1">
                  <c:v>FS</c:v>
                </c:pt>
                <c:pt idx="2">
                  <c:v>GP</c:v>
                </c:pt>
                <c:pt idx="3">
                  <c:v>KZN</c:v>
                </c:pt>
                <c:pt idx="4">
                  <c:v>LP</c:v>
                </c:pt>
                <c:pt idx="5">
                  <c:v>MP</c:v>
                </c:pt>
                <c:pt idx="6">
                  <c:v>NW</c:v>
                </c:pt>
                <c:pt idx="7">
                  <c:v>NC</c:v>
                </c:pt>
                <c:pt idx="8">
                  <c:v>WC</c:v>
                </c:pt>
                <c:pt idx="9">
                  <c:v>National</c:v>
                </c:pt>
              </c:strCache>
            </c:strRef>
          </c:cat>
          <c:val>
            <c:numRef>
              <c:f>'Slide 29'!$G$4:$G$13</c:f>
              <c:numCache>
                <c:formatCode>General</c:formatCode>
                <c:ptCount val="10"/>
                <c:pt idx="0">
                  <c:v>88.9</c:v>
                </c:pt>
                <c:pt idx="1">
                  <c:v>80.3</c:v>
                </c:pt>
                <c:pt idx="2">
                  <c:v>63.1</c:v>
                </c:pt>
                <c:pt idx="3" formatCode="_ * #,##0.0_ ;_ * \-#,##0.0_ ;_ * &quot;-&quot;??_ ;_ @_ ">
                  <c:v>81</c:v>
                </c:pt>
                <c:pt idx="4">
                  <c:v>93.9</c:v>
                </c:pt>
                <c:pt idx="5">
                  <c:v>87.1</c:v>
                </c:pt>
                <c:pt idx="6">
                  <c:v>85.1</c:v>
                </c:pt>
                <c:pt idx="7">
                  <c:v>89.3</c:v>
                </c:pt>
                <c:pt idx="8">
                  <c:v>67.2</c:v>
                </c:pt>
                <c:pt idx="9">
                  <c:v>80.2</c:v>
                </c:pt>
              </c:numCache>
            </c:numRef>
          </c:val>
          <c:extLst xmlns:c16r2="http://schemas.microsoft.com/office/drawing/2015/06/chart">
            <c:ext xmlns:c16="http://schemas.microsoft.com/office/drawing/2014/chart" uri="{C3380CC4-5D6E-409C-BE32-E72D297353CC}">
              <c16:uniqueId val="{00000005-02D5-407D-B2D6-1B38A3B35428}"/>
            </c:ext>
          </c:extLst>
        </c:ser>
        <c:ser>
          <c:idx val="6"/>
          <c:order val="6"/>
          <c:tx>
            <c:strRef>
              <c:f>'Slide 29'!$H$3</c:f>
              <c:strCache>
                <c:ptCount val="1"/>
                <c:pt idx="0">
                  <c:v>2016</c:v>
                </c:pt>
              </c:strCache>
            </c:strRef>
          </c:tx>
          <c:invertIfNegative val="0"/>
          <c:cat>
            <c:strRef>
              <c:f>'Slide 29'!$A$4:$A$13</c:f>
              <c:strCache>
                <c:ptCount val="10"/>
                <c:pt idx="0">
                  <c:v>EC</c:v>
                </c:pt>
                <c:pt idx="1">
                  <c:v>FS</c:v>
                </c:pt>
                <c:pt idx="2">
                  <c:v>GP</c:v>
                </c:pt>
                <c:pt idx="3">
                  <c:v>KZN</c:v>
                </c:pt>
                <c:pt idx="4">
                  <c:v>LP</c:v>
                </c:pt>
                <c:pt idx="5">
                  <c:v>MP</c:v>
                </c:pt>
                <c:pt idx="6">
                  <c:v>NW</c:v>
                </c:pt>
                <c:pt idx="7">
                  <c:v>NC</c:v>
                </c:pt>
                <c:pt idx="8">
                  <c:v>WC</c:v>
                </c:pt>
                <c:pt idx="9">
                  <c:v>National</c:v>
                </c:pt>
              </c:strCache>
            </c:strRef>
          </c:cat>
          <c:val>
            <c:numRef>
              <c:f>'Slide 29'!$H$4:$H$13</c:f>
              <c:numCache>
                <c:formatCode>General</c:formatCode>
                <c:ptCount val="10"/>
                <c:pt idx="0">
                  <c:v>90.1</c:v>
                </c:pt>
                <c:pt idx="1">
                  <c:v>82.1</c:v>
                </c:pt>
                <c:pt idx="2">
                  <c:v>65.400000000000006</c:v>
                </c:pt>
                <c:pt idx="3">
                  <c:v>83.4</c:v>
                </c:pt>
                <c:pt idx="4">
                  <c:v>92.2</c:v>
                </c:pt>
                <c:pt idx="5">
                  <c:v>89.1</c:v>
                </c:pt>
                <c:pt idx="6">
                  <c:v>83.4</c:v>
                </c:pt>
                <c:pt idx="7">
                  <c:v>89.9</c:v>
                </c:pt>
                <c:pt idx="8">
                  <c:v>67.8</c:v>
                </c:pt>
                <c:pt idx="9">
                  <c:v>81.400000000000006</c:v>
                </c:pt>
              </c:numCache>
            </c:numRef>
          </c:val>
          <c:extLst xmlns:c16r2="http://schemas.microsoft.com/office/drawing/2015/06/chart">
            <c:ext xmlns:c16="http://schemas.microsoft.com/office/drawing/2014/chart" uri="{C3380CC4-5D6E-409C-BE32-E72D297353CC}">
              <c16:uniqueId val="{00000006-02D5-407D-B2D6-1B38A3B35428}"/>
            </c:ext>
          </c:extLst>
        </c:ser>
        <c:dLbls>
          <c:showLegendKey val="0"/>
          <c:showVal val="0"/>
          <c:showCatName val="0"/>
          <c:showSerName val="0"/>
          <c:showPercent val="0"/>
          <c:showBubbleSize val="0"/>
        </c:dLbls>
        <c:gapWidth val="150"/>
        <c:shape val="box"/>
        <c:axId val="310465664"/>
        <c:axId val="310467200"/>
        <c:axId val="0"/>
      </c:bar3DChart>
      <c:catAx>
        <c:axId val="310465664"/>
        <c:scaling>
          <c:orientation val="minMax"/>
        </c:scaling>
        <c:delete val="0"/>
        <c:axPos val="b"/>
        <c:numFmt formatCode="General" sourceLinked="0"/>
        <c:majorTickMark val="none"/>
        <c:minorTickMark val="none"/>
        <c:tickLblPos val="nextTo"/>
        <c:crossAx val="310467200"/>
        <c:crosses val="autoZero"/>
        <c:auto val="1"/>
        <c:lblAlgn val="ctr"/>
        <c:lblOffset val="100"/>
        <c:noMultiLvlLbl val="0"/>
      </c:catAx>
      <c:valAx>
        <c:axId val="310467200"/>
        <c:scaling>
          <c:orientation val="minMax"/>
        </c:scaling>
        <c:delete val="0"/>
        <c:axPos val="l"/>
        <c:majorGridlines/>
        <c:title>
          <c:tx>
            <c:rich>
              <a:bodyPr/>
              <a:lstStyle/>
              <a:p>
                <a:pPr>
                  <a:defRPr/>
                </a:pPr>
                <a:r>
                  <a:rPr lang="en-ZA"/>
                  <a:t>Percentage</a:t>
                </a:r>
              </a:p>
            </c:rich>
          </c:tx>
          <c:overlay val="0"/>
        </c:title>
        <c:numFmt formatCode="General" sourceLinked="1"/>
        <c:majorTickMark val="none"/>
        <c:minorTickMark val="none"/>
        <c:tickLblPos val="nextTo"/>
        <c:crossAx val="3104656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Sheet2!$D$56</c:f>
              <c:strCache>
                <c:ptCount val="1"/>
                <c:pt idx="0">
                  <c:v>2016</c:v>
                </c:pt>
              </c:strCache>
            </c:strRef>
          </c:tx>
          <c:invertIfNegative val="0"/>
          <c:cat>
            <c:strRef>
              <c:f>Sheet2!$A$57:$C$61</c:f>
              <c:strCache>
                <c:ptCount val="5"/>
                <c:pt idx="0">
                  <c:v>Indigent households</c:v>
                </c:pt>
                <c:pt idx="1">
                  <c:v>Water</c:v>
                </c:pt>
                <c:pt idx="2">
                  <c:v>Electricity</c:v>
                </c:pt>
                <c:pt idx="3">
                  <c:v>Sewerage and sanitation</c:v>
                </c:pt>
                <c:pt idx="4">
                  <c:v>Solid waste management</c:v>
                </c:pt>
              </c:strCache>
            </c:strRef>
          </c:cat>
          <c:val>
            <c:numRef>
              <c:f>Sheet2!$D$57:$D$61</c:f>
              <c:numCache>
                <c:formatCode>#,##0</c:formatCode>
                <c:ptCount val="5"/>
                <c:pt idx="0">
                  <c:v>3564866</c:v>
                </c:pt>
                <c:pt idx="1">
                  <c:v>2681928</c:v>
                </c:pt>
                <c:pt idx="2">
                  <c:v>1992274</c:v>
                </c:pt>
                <c:pt idx="3">
                  <c:v>2013137</c:v>
                </c:pt>
                <c:pt idx="4">
                  <c:v>2451669</c:v>
                </c:pt>
              </c:numCache>
            </c:numRef>
          </c:val>
          <c:extLst xmlns:c16r2="http://schemas.microsoft.com/office/drawing/2015/06/chart">
            <c:ext xmlns:c16="http://schemas.microsoft.com/office/drawing/2014/chart" uri="{C3380CC4-5D6E-409C-BE32-E72D297353CC}">
              <c16:uniqueId val="{00000000-F064-4E6B-8C38-3F26668896CE}"/>
            </c:ext>
          </c:extLst>
        </c:ser>
        <c:ser>
          <c:idx val="1"/>
          <c:order val="1"/>
          <c:tx>
            <c:strRef>
              <c:f>Sheet2!$E$56</c:f>
              <c:strCache>
                <c:ptCount val="1"/>
                <c:pt idx="0">
                  <c:v>2017</c:v>
                </c:pt>
              </c:strCache>
            </c:strRef>
          </c:tx>
          <c:invertIfNegative val="0"/>
          <c:cat>
            <c:strRef>
              <c:f>Sheet2!$A$57:$C$61</c:f>
              <c:strCache>
                <c:ptCount val="5"/>
                <c:pt idx="0">
                  <c:v>Indigent households</c:v>
                </c:pt>
                <c:pt idx="1">
                  <c:v>Water</c:v>
                </c:pt>
                <c:pt idx="2">
                  <c:v>Electricity</c:v>
                </c:pt>
                <c:pt idx="3">
                  <c:v>Sewerage and sanitation</c:v>
                </c:pt>
                <c:pt idx="4">
                  <c:v>Solid waste management</c:v>
                </c:pt>
              </c:strCache>
            </c:strRef>
          </c:cat>
          <c:val>
            <c:numRef>
              <c:f>Sheet2!$E$57:$E$61</c:f>
              <c:numCache>
                <c:formatCode>#,##0</c:formatCode>
                <c:ptCount val="5"/>
                <c:pt idx="0">
                  <c:v>3511741</c:v>
                </c:pt>
                <c:pt idx="1">
                  <c:v>2647979</c:v>
                </c:pt>
                <c:pt idx="2">
                  <c:v>2090281</c:v>
                </c:pt>
                <c:pt idx="3">
                  <c:v>2199251</c:v>
                </c:pt>
                <c:pt idx="4">
                  <c:v>2525322</c:v>
                </c:pt>
              </c:numCache>
            </c:numRef>
          </c:val>
          <c:extLst xmlns:c16r2="http://schemas.microsoft.com/office/drawing/2015/06/chart">
            <c:ext xmlns:c16="http://schemas.microsoft.com/office/drawing/2014/chart" uri="{C3380CC4-5D6E-409C-BE32-E72D297353CC}">
              <c16:uniqueId val="{00000001-F064-4E6B-8C38-3F26668896CE}"/>
            </c:ext>
          </c:extLst>
        </c:ser>
        <c:dLbls>
          <c:showLegendKey val="0"/>
          <c:showVal val="0"/>
          <c:showCatName val="0"/>
          <c:showSerName val="0"/>
          <c:showPercent val="0"/>
          <c:showBubbleSize val="0"/>
        </c:dLbls>
        <c:gapWidth val="150"/>
        <c:axId val="304670592"/>
        <c:axId val="304672128"/>
      </c:barChart>
      <c:catAx>
        <c:axId val="304670592"/>
        <c:scaling>
          <c:orientation val="minMax"/>
        </c:scaling>
        <c:delete val="0"/>
        <c:axPos val="b"/>
        <c:numFmt formatCode="General" sourceLinked="0"/>
        <c:majorTickMark val="out"/>
        <c:minorTickMark val="none"/>
        <c:tickLblPos val="nextTo"/>
        <c:crossAx val="304672128"/>
        <c:crosses val="autoZero"/>
        <c:auto val="1"/>
        <c:lblAlgn val="ctr"/>
        <c:lblOffset val="100"/>
        <c:noMultiLvlLbl val="0"/>
      </c:catAx>
      <c:valAx>
        <c:axId val="304672128"/>
        <c:scaling>
          <c:orientation val="minMax"/>
        </c:scaling>
        <c:delete val="0"/>
        <c:axPos val="l"/>
        <c:majorGridlines/>
        <c:numFmt formatCode="#,##0" sourceLinked="1"/>
        <c:majorTickMark val="out"/>
        <c:minorTickMark val="none"/>
        <c:tickLblPos val="nextTo"/>
        <c:crossAx val="304670592"/>
        <c:crosses val="autoZero"/>
        <c:crossBetween val="between"/>
      </c:valAx>
      <c:dTable>
        <c:showHorzBorder val="1"/>
        <c:showVertBorder val="1"/>
        <c:showOutline val="1"/>
        <c:showKeys val="1"/>
        <c:txPr>
          <a:bodyPr/>
          <a:lstStyle/>
          <a:p>
            <a:pPr rtl="0">
              <a:defRPr sz="900">
                <a:latin typeface="Arial" pitchFamily="34" charset="0"/>
                <a:cs typeface="Arial" pitchFamily="34" charset="0"/>
              </a:defRPr>
            </a:pPr>
            <a:endParaRPr lang="en-US"/>
          </a:p>
        </c:txPr>
      </c:dTable>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'[Access to Servises.xlsx]Sanitation'!$A$4</c:f>
              <c:strCache>
                <c:ptCount val="1"/>
                <c:pt idx="0">
                  <c:v>RSA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'[Access to Servises.xlsx]Sanitation'!$B$3:$J$3</c:f>
              <c:numCache>
                <c:formatCode>General</c:formatCode>
                <c:ptCount val="9"/>
                <c:pt idx="0">
                  <c:v>2002</c:v>
                </c:pt>
                <c:pt idx="1">
                  <c:v>2004</c:v>
                </c:pt>
                <c:pt idx="2">
                  <c:v>2006</c:v>
                </c:pt>
                <c:pt idx="3">
                  <c:v>2008</c:v>
                </c:pt>
                <c:pt idx="4">
                  <c:v>2010</c:v>
                </c:pt>
                <c:pt idx="5">
                  <c:v>2012</c:v>
                </c:pt>
                <c:pt idx="6">
                  <c:v>2014</c:v>
                </c:pt>
                <c:pt idx="7">
                  <c:v>2016</c:v>
                </c:pt>
                <c:pt idx="8">
                  <c:v>2017</c:v>
                </c:pt>
              </c:numCache>
            </c:numRef>
          </c:cat>
          <c:val>
            <c:numRef>
              <c:f>'[Access to Servises.xlsx]Sanitation'!$B$4:$J$4</c:f>
              <c:numCache>
                <c:formatCode>General</c:formatCode>
                <c:ptCount val="9"/>
                <c:pt idx="0">
                  <c:v>61.7</c:v>
                </c:pt>
                <c:pt idx="1">
                  <c:v>65.900000000000006</c:v>
                </c:pt>
                <c:pt idx="2">
                  <c:v>68.3</c:v>
                </c:pt>
                <c:pt idx="3">
                  <c:v>70</c:v>
                </c:pt>
                <c:pt idx="4">
                  <c:v>75.400000000000006</c:v>
                </c:pt>
                <c:pt idx="5">
                  <c:v>77</c:v>
                </c:pt>
                <c:pt idx="6">
                  <c:v>79.5</c:v>
                </c:pt>
                <c:pt idx="7">
                  <c:v>81</c:v>
                </c:pt>
                <c:pt idx="8">
                  <c:v>82.2</c:v>
                </c:pt>
              </c:numCache>
            </c:numRef>
          </c:val>
          <c:extLst xmlns:c16r2="http://schemas.microsoft.com/office/drawing/2015/06/chart">
            <c:ext xmlns:c16="http://schemas.microsoft.com/office/drawing/2014/chart" uri="{C3380CC4-5D6E-409C-BE32-E72D297353CC}">
              <c16:uniqueId val="{00000000-B456-4BD3-979E-152558B55CA1}"/>
            </c:ext>
          </c:extLst>
        </c:ser>
        <c:dLbls>
          <c:dLblPos val="inEnd"/>
          <c:showLegendKey val="0"/>
          <c:showVal val="1"/>
          <c:showCatName val="0"/>
          <c:showSerName val="0"/>
          <c:showPercent val="0"/>
          <c:showBubbleSize val="0"/>
        </c:dLbls>
        <c:gapWidth val="219"/>
        <c:overlap val="-27"/>
        <c:axId val="313815040"/>
        <c:axId val="313817728"/>
      </c:barChart>
      <c:catAx>
        <c:axId val="31381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817728"/>
        <c:crosses val="autoZero"/>
        <c:auto val="1"/>
        <c:lblAlgn val="ctr"/>
        <c:lblOffset val="100"/>
        <c:noMultiLvlLbl val="0"/>
      </c:catAx>
      <c:valAx>
        <c:axId val="31381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81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Access to Sanitation</a:t>
            </a:r>
            <a:r>
              <a:rPr lang="en-US" sz="1400" baseline="0"/>
              <a:t> by Gender %</a:t>
            </a:r>
            <a:endParaRPr lang="en-US" sz="1400"/>
          </a:p>
        </c:rich>
      </c:tx>
      <c:overlay val="0"/>
    </c:title>
    <c:autoTitleDeleted val="0"/>
    <c:plotArea>
      <c:layout/>
      <c:barChart>
        <c:barDir val="col"/>
        <c:grouping val="clustered"/>
        <c:varyColors val="0"/>
        <c:ser>
          <c:idx val="0"/>
          <c:order val="0"/>
          <c:tx>
            <c:strRef>
              <c:f>Sheet2!$J$11</c:f>
              <c:strCache>
                <c:ptCount val="1"/>
                <c:pt idx="0">
                  <c:v>None</c:v>
                </c:pt>
              </c:strCache>
            </c:strRef>
          </c:tx>
          <c:invertIfNegative val="0"/>
          <c:cat>
            <c:multiLvlStrRef>
              <c:f>Sheet2!$K$9:$Q$10</c:f>
              <c:multiLvlStrCache>
                <c:ptCount val="7"/>
                <c:lvl>
                  <c:pt idx="0">
                    <c:v>Non-poor Male</c:v>
                  </c:pt>
                  <c:pt idx="1">
                    <c:v>Non-poor Female</c:v>
                  </c:pt>
                  <c:pt idx="2">
                    <c:v>Non-poor Total</c:v>
                  </c:pt>
                  <c:pt idx="3">
                    <c:v>Poor Male</c:v>
                  </c:pt>
                  <c:pt idx="4">
                    <c:v>Poor Female</c:v>
                  </c:pt>
                  <c:pt idx="5">
                    <c:v>Poor Total</c:v>
                  </c:pt>
                  <c:pt idx="6">
                    <c:v>All Households</c:v>
                  </c:pt>
                </c:lvl>
                <c:lvl>
                  <c:pt idx="0">
                    <c:v>Access to Sanitation %</c:v>
                  </c:pt>
                </c:lvl>
              </c:multiLvlStrCache>
            </c:multiLvlStrRef>
          </c:cat>
          <c:val>
            <c:numRef>
              <c:f>Sheet2!$K$11:$Q$11</c:f>
              <c:numCache>
                <c:formatCode>General</c:formatCode>
                <c:ptCount val="7"/>
                <c:pt idx="0">
                  <c:v>2.2999999999999998</c:v>
                </c:pt>
                <c:pt idx="1">
                  <c:v>1.8</c:v>
                </c:pt>
                <c:pt idx="2">
                  <c:v>2.2000000000000002</c:v>
                </c:pt>
                <c:pt idx="3">
                  <c:v>7.5</c:v>
                </c:pt>
                <c:pt idx="4">
                  <c:v>6.2</c:v>
                </c:pt>
                <c:pt idx="5">
                  <c:v>6.9</c:v>
                </c:pt>
                <c:pt idx="6" formatCode="0.0">
                  <c:v>4.0999999999999996</c:v>
                </c:pt>
              </c:numCache>
            </c:numRef>
          </c:val>
          <c:extLst xmlns:c16r2="http://schemas.microsoft.com/office/drawing/2015/06/chart">
            <c:ext xmlns:c16="http://schemas.microsoft.com/office/drawing/2014/chart" uri="{C3380CC4-5D6E-409C-BE32-E72D297353CC}">
              <c16:uniqueId val="{00000000-01E7-4CB9-B2FB-E4C1723734CF}"/>
            </c:ext>
          </c:extLst>
        </c:ser>
        <c:ser>
          <c:idx val="1"/>
          <c:order val="1"/>
          <c:tx>
            <c:strRef>
              <c:f>Sheet2!$J$12</c:f>
              <c:strCache>
                <c:ptCount val="1"/>
                <c:pt idx="0">
                  <c:v>Some</c:v>
                </c:pt>
              </c:strCache>
            </c:strRef>
          </c:tx>
          <c:invertIfNegative val="0"/>
          <c:cat>
            <c:multiLvlStrRef>
              <c:f>Sheet2!$K$9:$Q$10</c:f>
              <c:multiLvlStrCache>
                <c:ptCount val="7"/>
                <c:lvl>
                  <c:pt idx="0">
                    <c:v>Non-poor Male</c:v>
                  </c:pt>
                  <c:pt idx="1">
                    <c:v>Non-poor Female</c:v>
                  </c:pt>
                  <c:pt idx="2">
                    <c:v>Non-poor Total</c:v>
                  </c:pt>
                  <c:pt idx="3">
                    <c:v>Poor Male</c:v>
                  </c:pt>
                  <c:pt idx="4">
                    <c:v>Poor Female</c:v>
                  </c:pt>
                  <c:pt idx="5">
                    <c:v>Poor Total</c:v>
                  </c:pt>
                  <c:pt idx="6">
                    <c:v>All Households</c:v>
                  </c:pt>
                </c:lvl>
                <c:lvl>
                  <c:pt idx="0">
                    <c:v>Access to Sanitation %</c:v>
                  </c:pt>
                </c:lvl>
              </c:multiLvlStrCache>
            </c:multiLvlStrRef>
          </c:cat>
          <c:val>
            <c:numRef>
              <c:f>Sheet2!$K$12:$Q$12</c:f>
              <c:numCache>
                <c:formatCode>General</c:formatCode>
                <c:ptCount val="7"/>
                <c:pt idx="0">
                  <c:v>14.5</c:v>
                </c:pt>
                <c:pt idx="1">
                  <c:v>18.2</c:v>
                </c:pt>
                <c:pt idx="2">
                  <c:v>15.6</c:v>
                </c:pt>
                <c:pt idx="3">
                  <c:v>50.9</c:v>
                </c:pt>
                <c:pt idx="4">
                  <c:v>58.1</c:v>
                </c:pt>
                <c:pt idx="5">
                  <c:v>54.5</c:v>
                </c:pt>
                <c:pt idx="6">
                  <c:v>31.9</c:v>
                </c:pt>
              </c:numCache>
            </c:numRef>
          </c:val>
          <c:extLst xmlns:c16r2="http://schemas.microsoft.com/office/drawing/2015/06/chart">
            <c:ext xmlns:c16="http://schemas.microsoft.com/office/drawing/2014/chart" uri="{C3380CC4-5D6E-409C-BE32-E72D297353CC}">
              <c16:uniqueId val="{00000001-01E7-4CB9-B2FB-E4C1723734CF}"/>
            </c:ext>
          </c:extLst>
        </c:ser>
        <c:ser>
          <c:idx val="2"/>
          <c:order val="2"/>
          <c:tx>
            <c:strRef>
              <c:f>Sheet2!$J$13</c:f>
              <c:strCache>
                <c:ptCount val="1"/>
                <c:pt idx="0">
                  <c:v>Full</c:v>
                </c:pt>
              </c:strCache>
            </c:strRef>
          </c:tx>
          <c:invertIfNegative val="0"/>
          <c:cat>
            <c:multiLvlStrRef>
              <c:f>Sheet2!$K$9:$Q$10</c:f>
              <c:multiLvlStrCache>
                <c:ptCount val="7"/>
                <c:lvl>
                  <c:pt idx="0">
                    <c:v>Non-poor Male</c:v>
                  </c:pt>
                  <c:pt idx="1">
                    <c:v>Non-poor Female</c:v>
                  </c:pt>
                  <c:pt idx="2">
                    <c:v>Non-poor Total</c:v>
                  </c:pt>
                  <c:pt idx="3">
                    <c:v>Poor Male</c:v>
                  </c:pt>
                  <c:pt idx="4">
                    <c:v>Poor Female</c:v>
                  </c:pt>
                  <c:pt idx="5">
                    <c:v>Poor Total</c:v>
                  </c:pt>
                  <c:pt idx="6">
                    <c:v>All Households</c:v>
                  </c:pt>
                </c:lvl>
                <c:lvl>
                  <c:pt idx="0">
                    <c:v>Access to Sanitation %</c:v>
                  </c:pt>
                </c:lvl>
              </c:multiLvlStrCache>
            </c:multiLvlStrRef>
          </c:cat>
          <c:val>
            <c:numRef>
              <c:f>Sheet2!$K$13:$Q$13</c:f>
              <c:numCache>
                <c:formatCode>General</c:formatCode>
                <c:ptCount val="7"/>
                <c:pt idx="0">
                  <c:v>83.1</c:v>
                </c:pt>
                <c:pt idx="1">
                  <c:v>80</c:v>
                </c:pt>
                <c:pt idx="2">
                  <c:v>82.2</c:v>
                </c:pt>
                <c:pt idx="3">
                  <c:v>41.6</c:v>
                </c:pt>
                <c:pt idx="4">
                  <c:v>35.700000000000003</c:v>
                </c:pt>
                <c:pt idx="5">
                  <c:v>38.700000000000003</c:v>
                </c:pt>
                <c:pt idx="6" formatCode="0.0">
                  <c:v>64</c:v>
                </c:pt>
              </c:numCache>
            </c:numRef>
          </c:val>
          <c:extLst xmlns:c16r2="http://schemas.microsoft.com/office/drawing/2015/06/chart">
            <c:ext xmlns:c16="http://schemas.microsoft.com/office/drawing/2014/chart" uri="{C3380CC4-5D6E-409C-BE32-E72D297353CC}">
              <c16:uniqueId val="{00000002-01E7-4CB9-B2FB-E4C1723734CF}"/>
            </c:ext>
          </c:extLst>
        </c:ser>
        <c:dLbls>
          <c:showLegendKey val="0"/>
          <c:showVal val="0"/>
          <c:showCatName val="0"/>
          <c:showSerName val="0"/>
          <c:showPercent val="0"/>
          <c:showBubbleSize val="0"/>
        </c:dLbls>
        <c:gapWidth val="150"/>
        <c:axId val="313930880"/>
        <c:axId val="313932416"/>
      </c:barChart>
      <c:catAx>
        <c:axId val="313930880"/>
        <c:scaling>
          <c:orientation val="minMax"/>
        </c:scaling>
        <c:delete val="0"/>
        <c:axPos val="b"/>
        <c:numFmt formatCode="General" sourceLinked="0"/>
        <c:majorTickMark val="none"/>
        <c:minorTickMark val="none"/>
        <c:tickLblPos val="nextTo"/>
        <c:crossAx val="313932416"/>
        <c:crosses val="autoZero"/>
        <c:auto val="1"/>
        <c:lblAlgn val="ctr"/>
        <c:lblOffset val="100"/>
        <c:noMultiLvlLbl val="0"/>
      </c:catAx>
      <c:valAx>
        <c:axId val="313932416"/>
        <c:scaling>
          <c:orientation val="minMax"/>
        </c:scaling>
        <c:delete val="0"/>
        <c:axPos val="l"/>
        <c:majorGridlines/>
        <c:numFmt formatCode="General" sourceLinked="1"/>
        <c:majorTickMark val="none"/>
        <c:minorTickMark val="none"/>
        <c:tickLblPos val="nextTo"/>
        <c:crossAx val="31393088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ZA" sz="1000">
                <a:latin typeface="Arial" pitchFamily="34" charset="0"/>
                <a:cs typeface="Arial" pitchFamily="34" charset="0"/>
              </a:rPr>
              <a:t>Access to electricity by gender of household head, 2002 -2012,2016</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Sheet3!$A$4</c:f>
              <c:strCache>
                <c:ptCount val="1"/>
                <c:pt idx="0">
                  <c:v>Male</c:v>
                </c:pt>
              </c:strCache>
            </c:strRef>
          </c:tx>
          <c:invertIfNegative val="0"/>
          <c:cat>
            <c:numRef>
              <c:f>Sheet3!$B$3:$M$3</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2016</c:v>
                </c:pt>
              </c:numCache>
            </c:numRef>
          </c:cat>
          <c:val>
            <c:numRef>
              <c:f>Sheet3!$B$4:$M$4</c:f>
              <c:numCache>
                <c:formatCode>General</c:formatCode>
                <c:ptCount val="12"/>
                <c:pt idx="0">
                  <c:v>79.599999999999994</c:v>
                </c:pt>
                <c:pt idx="1">
                  <c:v>81</c:v>
                </c:pt>
                <c:pt idx="2">
                  <c:v>82.6</c:v>
                </c:pt>
                <c:pt idx="3">
                  <c:v>82</c:v>
                </c:pt>
                <c:pt idx="4">
                  <c:v>81.8</c:v>
                </c:pt>
                <c:pt idx="5">
                  <c:v>82.2</c:v>
                </c:pt>
                <c:pt idx="6">
                  <c:v>82.3</c:v>
                </c:pt>
                <c:pt idx="7">
                  <c:v>83</c:v>
                </c:pt>
                <c:pt idx="8">
                  <c:v>82.6</c:v>
                </c:pt>
                <c:pt idx="9">
                  <c:v>82.7</c:v>
                </c:pt>
                <c:pt idx="10">
                  <c:v>84.9</c:v>
                </c:pt>
                <c:pt idx="11">
                  <c:v>81.900000000000006</c:v>
                </c:pt>
              </c:numCache>
            </c:numRef>
          </c:val>
          <c:extLst xmlns:c16r2="http://schemas.microsoft.com/office/drawing/2015/06/chart">
            <c:ext xmlns:c16="http://schemas.microsoft.com/office/drawing/2014/chart" uri="{C3380CC4-5D6E-409C-BE32-E72D297353CC}">
              <c16:uniqueId val="{00000000-054B-47F0-8ADB-C61D7E02CD1C}"/>
            </c:ext>
          </c:extLst>
        </c:ser>
        <c:ser>
          <c:idx val="1"/>
          <c:order val="1"/>
          <c:tx>
            <c:strRef>
              <c:f>Sheet3!$A$5</c:f>
              <c:strCache>
                <c:ptCount val="1"/>
                <c:pt idx="0">
                  <c:v>Female</c:v>
                </c:pt>
              </c:strCache>
            </c:strRef>
          </c:tx>
          <c:invertIfNegative val="0"/>
          <c:cat>
            <c:numRef>
              <c:f>Sheet3!$B$3:$M$3</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2016</c:v>
                </c:pt>
              </c:numCache>
            </c:numRef>
          </c:cat>
          <c:val>
            <c:numRef>
              <c:f>Sheet3!$B$5:$M$5</c:f>
              <c:numCache>
                <c:formatCode>General</c:formatCode>
                <c:ptCount val="12"/>
                <c:pt idx="0">
                  <c:v>73.3</c:v>
                </c:pt>
                <c:pt idx="1">
                  <c:v>75.099999999999994</c:v>
                </c:pt>
                <c:pt idx="2">
                  <c:v>78.3</c:v>
                </c:pt>
                <c:pt idx="3">
                  <c:v>79.400000000000006</c:v>
                </c:pt>
                <c:pt idx="4">
                  <c:v>79.099999999999994</c:v>
                </c:pt>
                <c:pt idx="5">
                  <c:v>81.7</c:v>
                </c:pt>
                <c:pt idx="6">
                  <c:v>81.400000000000006</c:v>
                </c:pt>
                <c:pt idx="7">
                  <c:v>82.1</c:v>
                </c:pt>
                <c:pt idx="8">
                  <c:v>83.4</c:v>
                </c:pt>
                <c:pt idx="9">
                  <c:v>85.3</c:v>
                </c:pt>
                <c:pt idx="10">
                  <c:v>85.9</c:v>
                </c:pt>
                <c:pt idx="11">
                  <c:v>87.5</c:v>
                </c:pt>
              </c:numCache>
            </c:numRef>
          </c:val>
          <c:extLst xmlns:c16r2="http://schemas.microsoft.com/office/drawing/2015/06/chart">
            <c:ext xmlns:c16="http://schemas.microsoft.com/office/drawing/2014/chart" uri="{C3380CC4-5D6E-409C-BE32-E72D297353CC}">
              <c16:uniqueId val="{00000001-054B-47F0-8ADB-C61D7E02CD1C}"/>
            </c:ext>
          </c:extLst>
        </c:ser>
        <c:ser>
          <c:idx val="2"/>
          <c:order val="2"/>
          <c:tx>
            <c:strRef>
              <c:f>Sheet3!$A$6</c:f>
              <c:strCache>
                <c:ptCount val="1"/>
                <c:pt idx="0">
                  <c:v>Total</c:v>
                </c:pt>
              </c:strCache>
            </c:strRef>
          </c:tx>
          <c:invertIfNegative val="0"/>
          <c:cat>
            <c:numRef>
              <c:f>Sheet3!$B$3:$M$3</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2016</c:v>
                </c:pt>
              </c:numCache>
            </c:numRef>
          </c:cat>
          <c:val>
            <c:numRef>
              <c:f>Sheet3!$B$6:$M$6</c:f>
              <c:numCache>
                <c:formatCode>General</c:formatCode>
                <c:ptCount val="12"/>
                <c:pt idx="0">
                  <c:v>77.099999999999994</c:v>
                </c:pt>
                <c:pt idx="1">
                  <c:v>78.7</c:v>
                </c:pt>
                <c:pt idx="2">
                  <c:v>80.900000000000006</c:v>
                </c:pt>
                <c:pt idx="3">
                  <c:v>80.900000000000006</c:v>
                </c:pt>
                <c:pt idx="4">
                  <c:v>80.7</c:v>
                </c:pt>
                <c:pt idx="5">
                  <c:v>82</c:v>
                </c:pt>
                <c:pt idx="6">
                  <c:v>81.900000000000006</c:v>
                </c:pt>
                <c:pt idx="7">
                  <c:v>82.7</c:v>
                </c:pt>
                <c:pt idx="8">
                  <c:v>82.9</c:v>
                </c:pt>
                <c:pt idx="9">
                  <c:v>83.8</c:v>
                </c:pt>
                <c:pt idx="10">
                  <c:v>85.3</c:v>
                </c:pt>
                <c:pt idx="11">
                  <c:v>87.5</c:v>
                </c:pt>
              </c:numCache>
            </c:numRef>
          </c:val>
          <c:extLst xmlns:c16r2="http://schemas.microsoft.com/office/drawing/2015/06/chart">
            <c:ext xmlns:c16="http://schemas.microsoft.com/office/drawing/2014/chart" uri="{C3380CC4-5D6E-409C-BE32-E72D297353CC}">
              <c16:uniqueId val="{00000002-054B-47F0-8ADB-C61D7E02CD1C}"/>
            </c:ext>
          </c:extLst>
        </c:ser>
        <c:dLbls>
          <c:showLegendKey val="0"/>
          <c:showVal val="0"/>
          <c:showCatName val="0"/>
          <c:showSerName val="0"/>
          <c:showPercent val="0"/>
          <c:showBubbleSize val="0"/>
        </c:dLbls>
        <c:gapWidth val="150"/>
        <c:shape val="box"/>
        <c:axId val="313949184"/>
        <c:axId val="314102528"/>
        <c:axId val="0"/>
      </c:bar3DChart>
      <c:catAx>
        <c:axId val="313949184"/>
        <c:scaling>
          <c:orientation val="minMax"/>
        </c:scaling>
        <c:delete val="0"/>
        <c:axPos val="b"/>
        <c:numFmt formatCode="General" sourceLinked="1"/>
        <c:majorTickMark val="out"/>
        <c:minorTickMark val="none"/>
        <c:tickLblPos val="nextTo"/>
        <c:crossAx val="314102528"/>
        <c:crosses val="autoZero"/>
        <c:auto val="1"/>
        <c:lblAlgn val="ctr"/>
        <c:lblOffset val="100"/>
        <c:noMultiLvlLbl val="0"/>
      </c:catAx>
      <c:valAx>
        <c:axId val="314102528"/>
        <c:scaling>
          <c:orientation val="minMax"/>
        </c:scaling>
        <c:delete val="0"/>
        <c:axPos val="l"/>
        <c:majorGridlines/>
        <c:numFmt formatCode="General" sourceLinked="1"/>
        <c:majorTickMark val="out"/>
        <c:minorTickMark val="none"/>
        <c:tickLblPos val="nextTo"/>
        <c:crossAx val="313949184"/>
        <c:crosses val="autoZero"/>
        <c:crossBetween val="between"/>
      </c:valAx>
      <c:dTable>
        <c:showHorzBorder val="1"/>
        <c:showVertBorder val="1"/>
        <c:showOutline val="1"/>
        <c:showKeys val="1"/>
        <c:txPr>
          <a:bodyPr/>
          <a:lstStyle/>
          <a:p>
            <a:pPr rtl="0">
              <a:defRPr sz="900">
                <a:latin typeface="Arial" pitchFamily="34" charset="0"/>
                <a:cs typeface="Arial" pitchFamily="34" charset="0"/>
              </a:defRPr>
            </a:pPr>
            <a:endParaRPr lang="en-US"/>
          </a:p>
        </c:txPr>
      </c:dTable>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'[Access to Servises.xlsx]Housing'!$A$3</c:f>
              <c:strCache>
                <c:ptCount val="1"/>
                <c:pt idx="0">
                  <c:v>Male headed</c:v>
                </c:pt>
              </c:strCache>
            </c:strRef>
          </c:tx>
          <c:invertIfNegative val="0"/>
          <c:cat>
            <c:numRef>
              <c:f>'[Access to Servises.xlsx]Housing'!$B$2:$Q$2</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'[Access to Servises.xlsx]Housing'!$B$3:$Q$3</c:f>
              <c:numCache>
                <c:formatCode>General</c:formatCode>
                <c:ptCount val="16"/>
                <c:pt idx="0">
                  <c:v>5.0999999999999996</c:v>
                </c:pt>
                <c:pt idx="1">
                  <c:v>6</c:v>
                </c:pt>
                <c:pt idx="2">
                  <c:v>5.8</c:v>
                </c:pt>
                <c:pt idx="3">
                  <c:v>7.6</c:v>
                </c:pt>
                <c:pt idx="4">
                  <c:v>8.3000000000000007</c:v>
                </c:pt>
                <c:pt idx="5">
                  <c:v>7.6</c:v>
                </c:pt>
                <c:pt idx="6">
                  <c:v>9.8000000000000007</c:v>
                </c:pt>
                <c:pt idx="7">
                  <c:v>8.3000000000000007</c:v>
                </c:pt>
                <c:pt idx="8">
                  <c:v>9.1</c:v>
                </c:pt>
                <c:pt idx="9">
                  <c:v>8.6</c:v>
                </c:pt>
                <c:pt idx="10">
                  <c:v>6.9</c:v>
                </c:pt>
                <c:pt idx="11">
                  <c:v>11.1</c:v>
                </c:pt>
                <c:pt idx="12">
                  <c:v>11.3</c:v>
                </c:pt>
                <c:pt idx="13">
                  <c:v>11.9</c:v>
                </c:pt>
                <c:pt idx="14">
                  <c:v>11</c:v>
                </c:pt>
                <c:pt idx="15">
                  <c:v>11</c:v>
                </c:pt>
              </c:numCache>
            </c:numRef>
          </c:val>
          <c:extLst xmlns:c16r2="http://schemas.microsoft.com/office/drawing/2015/06/chart">
            <c:ext xmlns:c16="http://schemas.microsoft.com/office/drawing/2014/chart" uri="{C3380CC4-5D6E-409C-BE32-E72D297353CC}">
              <c16:uniqueId val="{00000000-6E5E-4FE7-B94D-E9034C3C5DF7}"/>
            </c:ext>
          </c:extLst>
        </c:ser>
        <c:ser>
          <c:idx val="1"/>
          <c:order val="1"/>
          <c:tx>
            <c:strRef>
              <c:f>'[Access to Servises.xlsx]Housing'!$A$4</c:f>
              <c:strCache>
                <c:ptCount val="1"/>
                <c:pt idx="0">
                  <c:v>Female headed</c:v>
                </c:pt>
              </c:strCache>
            </c:strRef>
          </c:tx>
          <c:invertIfNegative val="0"/>
          <c:cat>
            <c:numRef>
              <c:f>'[Access to Servises.xlsx]Housing'!$B$2:$Q$2</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'[Access to Servises.xlsx]Housing'!$B$4:$Q$4</c:f>
              <c:numCache>
                <c:formatCode>General</c:formatCode>
                <c:ptCount val="16"/>
                <c:pt idx="0">
                  <c:v>6.2</c:v>
                </c:pt>
                <c:pt idx="1">
                  <c:v>6.7</c:v>
                </c:pt>
                <c:pt idx="2">
                  <c:v>7.8</c:v>
                </c:pt>
                <c:pt idx="3">
                  <c:v>9.9</c:v>
                </c:pt>
                <c:pt idx="4">
                  <c:v>11.3</c:v>
                </c:pt>
                <c:pt idx="5">
                  <c:v>10.9</c:v>
                </c:pt>
                <c:pt idx="6">
                  <c:v>13.2</c:v>
                </c:pt>
                <c:pt idx="7">
                  <c:v>11.5</c:v>
                </c:pt>
                <c:pt idx="8">
                  <c:v>11.5</c:v>
                </c:pt>
                <c:pt idx="9">
                  <c:v>11.8</c:v>
                </c:pt>
                <c:pt idx="10">
                  <c:v>10.1</c:v>
                </c:pt>
                <c:pt idx="11">
                  <c:v>16.399999999999999</c:v>
                </c:pt>
                <c:pt idx="12">
                  <c:v>16.8</c:v>
                </c:pt>
                <c:pt idx="13">
                  <c:v>18</c:v>
                </c:pt>
                <c:pt idx="14">
                  <c:v>16.899999999999999</c:v>
                </c:pt>
                <c:pt idx="15">
                  <c:v>17.3</c:v>
                </c:pt>
              </c:numCache>
            </c:numRef>
          </c:val>
          <c:extLst xmlns:c16r2="http://schemas.microsoft.com/office/drawing/2015/06/chart">
            <c:ext xmlns:c16="http://schemas.microsoft.com/office/drawing/2014/chart" uri="{C3380CC4-5D6E-409C-BE32-E72D297353CC}">
              <c16:uniqueId val="{00000001-6E5E-4FE7-B94D-E9034C3C5DF7}"/>
            </c:ext>
          </c:extLst>
        </c:ser>
        <c:ser>
          <c:idx val="2"/>
          <c:order val="2"/>
          <c:tx>
            <c:strRef>
              <c:f>'[Access to Servises.xlsx]Housing'!$A$5</c:f>
              <c:strCache>
                <c:ptCount val="1"/>
                <c:pt idx="0">
                  <c:v>South Africa</c:v>
                </c:pt>
              </c:strCache>
            </c:strRef>
          </c:tx>
          <c:invertIfNegative val="0"/>
          <c:cat>
            <c:numRef>
              <c:f>'[Access to Servises.xlsx]Housing'!$B$2:$Q$2</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'[Access to Servises.xlsx]Housing'!$B$5:$Q$5</c:f>
              <c:numCache>
                <c:formatCode>General</c:formatCode>
                <c:ptCount val="16"/>
                <c:pt idx="0">
                  <c:v>5.5</c:v>
                </c:pt>
                <c:pt idx="1">
                  <c:v>6.3</c:v>
                </c:pt>
                <c:pt idx="2">
                  <c:v>6.6</c:v>
                </c:pt>
                <c:pt idx="3">
                  <c:v>8.5</c:v>
                </c:pt>
                <c:pt idx="4">
                  <c:v>9.5</c:v>
                </c:pt>
                <c:pt idx="5">
                  <c:v>9</c:v>
                </c:pt>
                <c:pt idx="6">
                  <c:v>11.2</c:v>
                </c:pt>
                <c:pt idx="7">
                  <c:v>9.6</c:v>
                </c:pt>
                <c:pt idx="8">
                  <c:v>10.1</c:v>
                </c:pt>
                <c:pt idx="9">
                  <c:v>9.9</c:v>
                </c:pt>
                <c:pt idx="10">
                  <c:v>8.1999999999999993</c:v>
                </c:pt>
                <c:pt idx="11">
                  <c:v>13.3</c:v>
                </c:pt>
                <c:pt idx="12">
                  <c:v>13.6</c:v>
                </c:pt>
                <c:pt idx="13">
                  <c:v>14.4</c:v>
                </c:pt>
                <c:pt idx="14">
                  <c:v>13.5</c:v>
                </c:pt>
                <c:pt idx="15">
                  <c:v>13.6</c:v>
                </c:pt>
              </c:numCache>
            </c:numRef>
          </c:val>
          <c:extLst xmlns:c16r2="http://schemas.microsoft.com/office/drawing/2015/06/chart">
            <c:ext xmlns:c16="http://schemas.microsoft.com/office/drawing/2014/chart" uri="{C3380CC4-5D6E-409C-BE32-E72D297353CC}">
              <c16:uniqueId val="{00000002-6E5E-4FE7-B94D-E9034C3C5DF7}"/>
            </c:ext>
          </c:extLst>
        </c:ser>
        <c:dLbls>
          <c:showLegendKey val="0"/>
          <c:showVal val="0"/>
          <c:showCatName val="0"/>
          <c:showSerName val="0"/>
          <c:showPercent val="0"/>
          <c:showBubbleSize val="0"/>
        </c:dLbls>
        <c:gapWidth val="150"/>
        <c:axId val="315114624"/>
        <c:axId val="315116160"/>
      </c:barChart>
      <c:catAx>
        <c:axId val="315114624"/>
        <c:scaling>
          <c:orientation val="minMax"/>
        </c:scaling>
        <c:delete val="0"/>
        <c:axPos val="b"/>
        <c:numFmt formatCode="General" sourceLinked="1"/>
        <c:majorTickMark val="none"/>
        <c:minorTickMark val="none"/>
        <c:tickLblPos val="nextTo"/>
        <c:crossAx val="315116160"/>
        <c:crosses val="autoZero"/>
        <c:auto val="1"/>
        <c:lblAlgn val="ctr"/>
        <c:lblOffset val="100"/>
        <c:noMultiLvlLbl val="0"/>
      </c:catAx>
      <c:valAx>
        <c:axId val="315116160"/>
        <c:scaling>
          <c:orientation val="minMax"/>
        </c:scaling>
        <c:delete val="0"/>
        <c:axPos val="l"/>
        <c:title>
          <c:tx>
            <c:rich>
              <a:bodyPr/>
              <a:lstStyle/>
              <a:p>
                <a:pPr>
                  <a:defRPr sz="600">
                    <a:latin typeface="Arial Narrow" pitchFamily="34" charset="0"/>
                  </a:defRPr>
                </a:pPr>
                <a:r>
                  <a:rPr lang="en-ZA" sz="600">
                    <a:latin typeface="Arial Narrow" pitchFamily="34" charset="0"/>
                  </a:rPr>
                  <a:t>%</a:t>
                </a:r>
              </a:p>
            </c:rich>
          </c:tx>
          <c:overlay val="0"/>
        </c:title>
        <c:numFmt formatCode="General" sourceLinked="1"/>
        <c:majorTickMark val="none"/>
        <c:minorTickMark val="none"/>
        <c:tickLblPos val="nextTo"/>
        <c:txPr>
          <a:bodyPr/>
          <a:lstStyle/>
          <a:p>
            <a:pPr>
              <a:defRPr sz="700" b="1">
                <a:latin typeface="Arial Narrow" pitchFamily="34" charset="0"/>
              </a:defRPr>
            </a:pPr>
            <a:endParaRPr lang="en-US"/>
          </a:p>
        </c:txPr>
        <c:crossAx val="315114624"/>
        <c:crosses val="autoZero"/>
        <c:crossBetween val="between"/>
      </c:valAx>
      <c:dTable>
        <c:showHorzBorder val="1"/>
        <c:showVertBorder val="1"/>
        <c:showOutline val="1"/>
        <c:showKeys val="1"/>
        <c:txPr>
          <a:bodyPr/>
          <a:lstStyle/>
          <a:p>
            <a:pPr rtl="0">
              <a:defRPr sz="600" b="1">
                <a:latin typeface="Arial Narrow" pitchFamily="34" charset="0"/>
              </a:defRPr>
            </a:pPr>
            <a:endParaRPr lang="en-US"/>
          </a:p>
        </c:txPr>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Sheet3!$B$5</c:f>
              <c:strCache>
                <c:ptCount val="1"/>
                <c:pt idx="0">
                  <c:v>Male</c:v>
                </c:pt>
              </c:strCache>
            </c:strRef>
          </c:tx>
          <c:cat>
            <c:numRef>
              <c:f>Sheet3!$A$6:$A$20</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Sheet3!$B$6:$B$20</c:f>
              <c:numCache>
                <c:formatCode>General</c:formatCode>
                <c:ptCount val="15"/>
                <c:pt idx="0">
                  <c:v>40.14</c:v>
                </c:pt>
                <c:pt idx="1">
                  <c:v>42.82</c:v>
                </c:pt>
                <c:pt idx="2">
                  <c:v>43.92</c:v>
                </c:pt>
                <c:pt idx="3">
                  <c:v>44.41</c:v>
                </c:pt>
                <c:pt idx="4">
                  <c:v>44.63</c:v>
                </c:pt>
                <c:pt idx="5">
                  <c:v>44.68</c:v>
                </c:pt>
                <c:pt idx="6">
                  <c:v>46.57</c:v>
                </c:pt>
                <c:pt idx="7">
                  <c:v>46.62</c:v>
                </c:pt>
                <c:pt idx="8">
                  <c:v>46.83</c:v>
                </c:pt>
                <c:pt idx="9">
                  <c:v>47.11</c:v>
                </c:pt>
                <c:pt idx="10">
                  <c:v>47.42</c:v>
                </c:pt>
                <c:pt idx="11">
                  <c:v>47.38</c:v>
                </c:pt>
                <c:pt idx="12">
                  <c:v>47.01</c:v>
                </c:pt>
                <c:pt idx="13">
                  <c:v>47.15</c:v>
                </c:pt>
                <c:pt idx="14">
                  <c:v>47.15</c:v>
                </c:pt>
              </c:numCache>
            </c:numRef>
          </c:val>
          <c:smooth val="0"/>
          <c:extLst xmlns:c16r2="http://schemas.microsoft.com/office/drawing/2015/06/chart">
            <c:ext xmlns:c16="http://schemas.microsoft.com/office/drawing/2014/chart" uri="{C3380CC4-5D6E-409C-BE32-E72D297353CC}">
              <c16:uniqueId val="{00000000-4706-4313-BBC6-FEA4D26890D6}"/>
            </c:ext>
          </c:extLst>
        </c:ser>
        <c:ser>
          <c:idx val="2"/>
          <c:order val="1"/>
          <c:tx>
            <c:strRef>
              <c:f>Sheet3!$C$5</c:f>
              <c:strCache>
                <c:ptCount val="1"/>
                <c:pt idx="0">
                  <c:v>Female</c:v>
                </c:pt>
              </c:strCache>
            </c:strRef>
          </c:tx>
          <c:cat>
            <c:numRef>
              <c:f>Sheet3!$A$6:$A$20</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Sheet3!$C$6:$C$20</c:f>
              <c:numCache>
                <c:formatCode>General</c:formatCode>
                <c:ptCount val="15"/>
                <c:pt idx="0">
                  <c:v>59.86</c:v>
                </c:pt>
                <c:pt idx="1">
                  <c:v>57.18</c:v>
                </c:pt>
                <c:pt idx="2">
                  <c:v>56.08</c:v>
                </c:pt>
                <c:pt idx="3">
                  <c:v>55.59</c:v>
                </c:pt>
                <c:pt idx="4">
                  <c:v>55.37</c:v>
                </c:pt>
                <c:pt idx="5">
                  <c:v>55.32</c:v>
                </c:pt>
                <c:pt idx="6">
                  <c:v>53.43</c:v>
                </c:pt>
                <c:pt idx="7">
                  <c:v>53.38</c:v>
                </c:pt>
                <c:pt idx="8">
                  <c:v>53.17</c:v>
                </c:pt>
                <c:pt idx="9">
                  <c:v>52.89</c:v>
                </c:pt>
                <c:pt idx="10">
                  <c:v>52.58</c:v>
                </c:pt>
                <c:pt idx="11">
                  <c:v>52.62</c:v>
                </c:pt>
                <c:pt idx="12">
                  <c:v>52.99</c:v>
                </c:pt>
                <c:pt idx="13">
                  <c:v>52.85</c:v>
                </c:pt>
                <c:pt idx="14">
                  <c:v>52.85</c:v>
                </c:pt>
              </c:numCache>
            </c:numRef>
          </c:val>
          <c:smooth val="0"/>
          <c:extLst xmlns:c16r2="http://schemas.microsoft.com/office/drawing/2015/06/chart">
            <c:ext xmlns:c16="http://schemas.microsoft.com/office/drawing/2014/chart" uri="{C3380CC4-5D6E-409C-BE32-E72D297353CC}">
              <c16:uniqueId val="{00000001-4706-4313-BBC6-FEA4D26890D6}"/>
            </c:ext>
          </c:extLst>
        </c:ser>
        <c:dLbls>
          <c:showLegendKey val="0"/>
          <c:showVal val="0"/>
          <c:showCatName val="0"/>
          <c:showSerName val="0"/>
          <c:showPercent val="0"/>
          <c:showBubbleSize val="0"/>
        </c:dLbls>
        <c:marker val="1"/>
        <c:smooth val="0"/>
        <c:axId val="301612416"/>
        <c:axId val="304272512"/>
      </c:lineChart>
      <c:catAx>
        <c:axId val="301612416"/>
        <c:scaling>
          <c:orientation val="minMax"/>
        </c:scaling>
        <c:delete val="0"/>
        <c:axPos val="b"/>
        <c:numFmt formatCode="General" sourceLinked="1"/>
        <c:majorTickMark val="out"/>
        <c:minorTickMark val="none"/>
        <c:tickLblPos val="nextTo"/>
        <c:crossAx val="304272512"/>
        <c:crosses val="autoZero"/>
        <c:auto val="1"/>
        <c:lblAlgn val="ctr"/>
        <c:lblOffset val="100"/>
        <c:noMultiLvlLbl val="0"/>
      </c:catAx>
      <c:valAx>
        <c:axId val="304272512"/>
        <c:scaling>
          <c:orientation val="minMax"/>
        </c:scaling>
        <c:delete val="0"/>
        <c:axPos val="l"/>
        <c:majorGridlines/>
        <c:numFmt formatCode="General" sourceLinked="1"/>
        <c:majorTickMark val="out"/>
        <c:minorTickMark val="none"/>
        <c:tickLblPos val="nextTo"/>
        <c:crossAx val="301612416"/>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Type</a:t>
            </a:r>
            <a:r>
              <a:rPr lang="en-US" sz="1200" baseline="0"/>
              <a:t> of Housing by Sex and poverty %</a:t>
            </a:r>
            <a:endParaRPr lang="en-US" sz="1200"/>
          </a:p>
        </c:rich>
      </c:tx>
      <c:overlay val="0"/>
    </c:title>
    <c:autoTitleDeleted val="0"/>
    <c:plotArea>
      <c:layout/>
      <c:barChart>
        <c:barDir val="col"/>
        <c:grouping val="clustered"/>
        <c:varyColors val="0"/>
        <c:ser>
          <c:idx val="0"/>
          <c:order val="0"/>
          <c:tx>
            <c:strRef>
              <c:f>Sheet2!$B$4</c:f>
              <c:strCache>
                <c:ptCount val="1"/>
                <c:pt idx="0">
                  <c:v>Formal</c:v>
                </c:pt>
              </c:strCache>
            </c:strRef>
          </c:tx>
          <c:invertIfNegative val="0"/>
          <c:cat>
            <c:multiLvlStrRef>
              <c:f>Sheet2!$C$2:$H$3</c:f>
              <c:multiLvlStrCache>
                <c:ptCount val="6"/>
                <c:lvl>
                  <c:pt idx="0">
                    <c:v>All</c:v>
                  </c:pt>
                  <c:pt idx="1">
                    <c:v>Non-poor</c:v>
                  </c:pt>
                  <c:pt idx="2">
                    <c:v>Poor</c:v>
                  </c:pt>
                  <c:pt idx="3">
                    <c:v>All </c:v>
                  </c:pt>
                  <c:pt idx="4">
                    <c:v>Non-poor</c:v>
                  </c:pt>
                  <c:pt idx="5">
                    <c:v>Poor</c:v>
                  </c:pt>
                </c:lvl>
                <c:lvl>
                  <c:pt idx="0">
                    <c:v>Male household</c:v>
                  </c:pt>
                  <c:pt idx="3">
                    <c:v>Female household</c:v>
                  </c:pt>
                </c:lvl>
              </c:multiLvlStrCache>
            </c:multiLvlStrRef>
          </c:cat>
          <c:val>
            <c:numRef>
              <c:f>Sheet2!$C$4:$H$4</c:f>
              <c:numCache>
                <c:formatCode>0.0</c:formatCode>
                <c:ptCount val="6"/>
                <c:pt idx="0">
                  <c:v>82</c:v>
                </c:pt>
                <c:pt idx="1">
                  <c:v>89.9</c:v>
                </c:pt>
                <c:pt idx="2" formatCode="0.00">
                  <c:v>66.5</c:v>
                </c:pt>
                <c:pt idx="3" formatCode="0.00">
                  <c:v>80.400000000000006</c:v>
                </c:pt>
                <c:pt idx="4" formatCode="0.00">
                  <c:v>91.5</c:v>
                </c:pt>
                <c:pt idx="5" formatCode="0.00">
                  <c:v>70.900000000000006</c:v>
                </c:pt>
              </c:numCache>
            </c:numRef>
          </c:val>
          <c:extLst xmlns:c16r2="http://schemas.microsoft.com/office/drawing/2015/06/chart">
            <c:ext xmlns:c16="http://schemas.microsoft.com/office/drawing/2014/chart" uri="{C3380CC4-5D6E-409C-BE32-E72D297353CC}">
              <c16:uniqueId val="{00000000-EF7D-402B-AD3E-630B27799F68}"/>
            </c:ext>
          </c:extLst>
        </c:ser>
        <c:ser>
          <c:idx val="1"/>
          <c:order val="1"/>
          <c:tx>
            <c:strRef>
              <c:f>Sheet2!$B$5</c:f>
              <c:strCache>
                <c:ptCount val="1"/>
                <c:pt idx="0">
                  <c:v>Informal</c:v>
                </c:pt>
              </c:strCache>
            </c:strRef>
          </c:tx>
          <c:invertIfNegative val="0"/>
          <c:cat>
            <c:multiLvlStrRef>
              <c:f>Sheet2!$C$2:$H$3</c:f>
              <c:multiLvlStrCache>
                <c:ptCount val="6"/>
                <c:lvl>
                  <c:pt idx="0">
                    <c:v>All</c:v>
                  </c:pt>
                  <c:pt idx="1">
                    <c:v>Non-poor</c:v>
                  </c:pt>
                  <c:pt idx="2">
                    <c:v>Poor</c:v>
                  </c:pt>
                  <c:pt idx="3">
                    <c:v>All </c:v>
                  </c:pt>
                  <c:pt idx="4">
                    <c:v>Non-poor</c:v>
                  </c:pt>
                  <c:pt idx="5">
                    <c:v>Poor</c:v>
                  </c:pt>
                </c:lvl>
                <c:lvl>
                  <c:pt idx="0">
                    <c:v>Male household</c:v>
                  </c:pt>
                  <c:pt idx="3">
                    <c:v>Female household</c:v>
                  </c:pt>
                </c:lvl>
              </c:multiLvlStrCache>
            </c:multiLvlStrRef>
          </c:cat>
          <c:val>
            <c:numRef>
              <c:f>Sheet2!$C$5:$H$5</c:f>
              <c:numCache>
                <c:formatCode>0.0</c:formatCode>
                <c:ptCount val="6"/>
                <c:pt idx="0">
                  <c:v>12.6</c:v>
                </c:pt>
                <c:pt idx="1">
                  <c:v>8.6</c:v>
                </c:pt>
                <c:pt idx="2" formatCode="0.00">
                  <c:v>20.3</c:v>
                </c:pt>
                <c:pt idx="3" formatCode="0.00">
                  <c:v>9.1</c:v>
                </c:pt>
                <c:pt idx="4" formatCode="0.00">
                  <c:v>6.4</c:v>
                </c:pt>
                <c:pt idx="5" formatCode="0.00">
                  <c:v>11.4</c:v>
                </c:pt>
              </c:numCache>
            </c:numRef>
          </c:val>
          <c:extLst xmlns:c16r2="http://schemas.microsoft.com/office/drawing/2015/06/chart">
            <c:ext xmlns:c16="http://schemas.microsoft.com/office/drawing/2014/chart" uri="{C3380CC4-5D6E-409C-BE32-E72D297353CC}">
              <c16:uniqueId val="{00000001-EF7D-402B-AD3E-630B27799F68}"/>
            </c:ext>
          </c:extLst>
        </c:ser>
        <c:ser>
          <c:idx val="2"/>
          <c:order val="2"/>
          <c:tx>
            <c:strRef>
              <c:f>Sheet2!$B$6</c:f>
              <c:strCache>
                <c:ptCount val="1"/>
                <c:pt idx="0">
                  <c:v>Traditional</c:v>
                </c:pt>
              </c:strCache>
            </c:strRef>
          </c:tx>
          <c:invertIfNegative val="0"/>
          <c:cat>
            <c:multiLvlStrRef>
              <c:f>Sheet2!$C$2:$H$3</c:f>
              <c:multiLvlStrCache>
                <c:ptCount val="6"/>
                <c:lvl>
                  <c:pt idx="0">
                    <c:v>All</c:v>
                  </c:pt>
                  <c:pt idx="1">
                    <c:v>Non-poor</c:v>
                  </c:pt>
                  <c:pt idx="2">
                    <c:v>Poor</c:v>
                  </c:pt>
                  <c:pt idx="3">
                    <c:v>All </c:v>
                  </c:pt>
                  <c:pt idx="4">
                    <c:v>Non-poor</c:v>
                  </c:pt>
                  <c:pt idx="5">
                    <c:v>Poor</c:v>
                  </c:pt>
                </c:lvl>
                <c:lvl>
                  <c:pt idx="0">
                    <c:v>Male household</c:v>
                  </c:pt>
                  <c:pt idx="3">
                    <c:v>Female household</c:v>
                  </c:pt>
                </c:lvl>
              </c:multiLvlStrCache>
            </c:multiLvlStrRef>
          </c:cat>
          <c:val>
            <c:numRef>
              <c:f>Sheet2!$C$6:$H$6</c:f>
              <c:numCache>
                <c:formatCode>0.0</c:formatCode>
                <c:ptCount val="6"/>
                <c:pt idx="0">
                  <c:v>5.2</c:v>
                </c:pt>
                <c:pt idx="1">
                  <c:v>1.3</c:v>
                </c:pt>
                <c:pt idx="2" formatCode="0.00">
                  <c:v>12.7</c:v>
                </c:pt>
                <c:pt idx="3" formatCode="0.00">
                  <c:v>10.3</c:v>
                </c:pt>
                <c:pt idx="4" formatCode="0.00">
                  <c:v>1.9</c:v>
                </c:pt>
                <c:pt idx="5" formatCode="0.00">
                  <c:v>17.5</c:v>
                </c:pt>
              </c:numCache>
            </c:numRef>
          </c:val>
          <c:extLst xmlns:c16r2="http://schemas.microsoft.com/office/drawing/2015/06/chart">
            <c:ext xmlns:c16="http://schemas.microsoft.com/office/drawing/2014/chart" uri="{C3380CC4-5D6E-409C-BE32-E72D297353CC}">
              <c16:uniqueId val="{00000002-EF7D-402B-AD3E-630B27799F68}"/>
            </c:ext>
          </c:extLst>
        </c:ser>
        <c:ser>
          <c:idx val="3"/>
          <c:order val="3"/>
          <c:tx>
            <c:strRef>
              <c:f>Sheet2!$B$7</c:f>
              <c:strCache>
                <c:ptCount val="1"/>
                <c:pt idx="0">
                  <c:v>Other</c:v>
                </c:pt>
              </c:strCache>
            </c:strRef>
          </c:tx>
          <c:invertIfNegative val="0"/>
          <c:cat>
            <c:multiLvlStrRef>
              <c:f>Sheet2!$C$2:$H$3</c:f>
              <c:multiLvlStrCache>
                <c:ptCount val="6"/>
                <c:lvl>
                  <c:pt idx="0">
                    <c:v>All</c:v>
                  </c:pt>
                  <c:pt idx="1">
                    <c:v>Non-poor</c:v>
                  </c:pt>
                  <c:pt idx="2">
                    <c:v>Poor</c:v>
                  </c:pt>
                  <c:pt idx="3">
                    <c:v>All </c:v>
                  </c:pt>
                  <c:pt idx="4">
                    <c:v>Non-poor</c:v>
                  </c:pt>
                  <c:pt idx="5">
                    <c:v>Poor</c:v>
                  </c:pt>
                </c:lvl>
                <c:lvl>
                  <c:pt idx="0">
                    <c:v>Male household</c:v>
                  </c:pt>
                  <c:pt idx="3">
                    <c:v>Female household</c:v>
                  </c:pt>
                </c:lvl>
              </c:multiLvlStrCache>
            </c:multiLvlStrRef>
          </c:cat>
          <c:val>
            <c:numRef>
              <c:f>Sheet2!$C$7:$H$7</c:f>
              <c:numCache>
                <c:formatCode>0.0</c:formatCode>
                <c:ptCount val="6"/>
                <c:pt idx="0">
                  <c:v>0.3</c:v>
                </c:pt>
                <c:pt idx="1">
                  <c:v>0.2</c:v>
                </c:pt>
                <c:pt idx="2" formatCode="0.00">
                  <c:v>0.6</c:v>
                </c:pt>
                <c:pt idx="3" formatCode="0.00">
                  <c:v>0.2</c:v>
                </c:pt>
                <c:pt idx="4" formatCode="0.00">
                  <c:v>0.2</c:v>
                </c:pt>
                <c:pt idx="5" formatCode="0.00">
                  <c:v>0.2</c:v>
                </c:pt>
              </c:numCache>
            </c:numRef>
          </c:val>
          <c:extLst xmlns:c16r2="http://schemas.microsoft.com/office/drawing/2015/06/chart">
            <c:ext xmlns:c16="http://schemas.microsoft.com/office/drawing/2014/chart" uri="{C3380CC4-5D6E-409C-BE32-E72D297353CC}">
              <c16:uniqueId val="{00000003-EF7D-402B-AD3E-630B27799F68}"/>
            </c:ext>
          </c:extLst>
        </c:ser>
        <c:ser>
          <c:idx val="4"/>
          <c:order val="4"/>
          <c:tx>
            <c:strRef>
              <c:f>Sheet2!$B$8</c:f>
              <c:strCache>
                <c:ptCount val="1"/>
                <c:pt idx="0">
                  <c:v>Total</c:v>
                </c:pt>
              </c:strCache>
            </c:strRef>
          </c:tx>
          <c:invertIfNegative val="0"/>
          <c:cat>
            <c:multiLvlStrRef>
              <c:f>Sheet2!$C$2:$H$3</c:f>
              <c:multiLvlStrCache>
                <c:ptCount val="6"/>
                <c:lvl>
                  <c:pt idx="0">
                    <c:v>All</c:v>
                  </c:pt>
                  <c:pt idx="1">
                    <c:v>Non-poor</c:v>
                  </c:pt>
                  <c:pt idx="2">
                    <c:v>Poor</c:v>
                  </c:pt>
                  <c:pt idx="3">
                    <c:v>All </c:v>
                  </c:pt>
                  <c:pt idx="4">
                    <c:v>Non-poor</c:v>
                  </c:pt>
                  <c:pt idx="5">
                    <c:v>Poor</c:v>
                  </c:pt>
                </c:lvl>
                <c:lvl>
                  <c:pt idx="0">
                    <c:v>Male household</c:v>
                  </c:pt>
                  <c:pt idx="3">
                    <c:v>Female household</c:v>
                  </c:pt>
                </c:lvl>
              </c:multiLvlStrCache>
            </c:multiLvlStrRef>
          </c:cat>
          <c:val>
            <c:numRef>
              <c:f>Sheet2!$C$8:$H$8</c:f>
              <c:numCache>
                <c:formatCode>0.0</c:formatCode>
                <c:ptCount val="6"/>
                <c:pt idx="0">
                  <c:v>100</c:v>
                </c:pt>
                <c:pt idx="1">
                  <c:v>100</c:v>
                </c:pt>
                <c:pt idx="2" formatCode="0.00">
                  <c:v>100</c:v>
                </c:pt>
                <c:pt idx="3" formatCode="0.00">
                  <c:v>100</c:v>
                </c:pt>
                <c:pt idx="4" formatCode="0.00">
                  <c:v>100</c:v>
                </c:pt>
                <c:pt idx="5" formatCode="0.00">
                  <c:v>100</c:v>
                </c:pt>
              </c:numCache>
            </c:numRef>
          </c:val>
          <c:extLst xmlns:c16r2="http://schemas.microsoft.com/office/drawing/2015/06/chart">
            <c:ext xmlns:c16="http://schemas.microsoft.com/office/drawing/2014/chart" uri="{C3380CC4-5D6E-409C-BE32-E72D297353CC}">
              <c16:uniqueId val="{00000004-EF7D-402B-AD3E-630B27799F68}"/>
            </c:ext>
          </c:extLst>
        </c:ser>
        <c:dLbls>
          <c:showLegendKey val="0"/>
          <c:showVal val="0"/>
          <c:showCatName val="0"/>
          <c:showSerName val="0"/>
          <c:showPercent val="0"/>
          <c:showBubbleSize val="0"/>
        </c:dLbls>
        <c:gapWidth val="150"/>
        <c:axId val="315139200"/>
        <c:axId val="315140736"/>
      </c:barChart>
      <c:catAx>
        <c:axId val="315139200"/>
        <c:scaling>
          <c:orientation val="minMax"/>
        </c:scaling>
        <c:delete val="0"/>
        <c:axPos val="b"/>
        <c:numFmt formatCode="General" sourceLinked="0"/>
        <c:majorTickMark val="none"/>
        <c:minorTickMark val="none"/>
        <c:tickLblPos val="nextTo"/>
        <c:crossAx val="315140736"/>
        <c:crosses val="autoZero"/>
        <c:auto val="1"/>
        <c:lblAlgn val="ctr"/>
        <c:lblOffset val="100"/>
        <c:noMultiLvlLbl val="0"/>
      </c:catAx>
      <c:valAx>
        <c:axId val="315140736"/>
        <c:scaling>
          <c:orientation val="minMax"/>
        </c:scaling>
        <c:delete val="0"/>
        <c:axPos val="l"/>
        <c:majorGridlines/>
        <c:numFmt formatCode="0.0" sourceLinked="1"/>
        <c:majorTickMark val="none"/>
        <c:minorTickMark val="none"/>
        <c:tickLblPos val="nextTo"/>
        <c:crossAx val="3151392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Male</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Sheet1!$A$2:$A$11</c:f>
              <c:strCache>
                <c:ptCount val="10"/>
                <c:pt idx="0">
                  <c:v>South Africa</c:v>
                </c:pt>
                <c:pt idx="1">
                  <c:v>Sub-Saharan Africa</c:v>
                </c:pt>
                <c:pt idx="2">
                  <c:v>Nigeria</c:v>
                </c:pt>
                <c:pt idx="3">
                  <c:v>Malaysia</c:v>
                </c:pt>
                <c:pt idx="4">
                  <c:v>Mexico</c:v>
                </c:pt>
                <c:pt idx="5">
                  <c:v>Ghana</c:v>
                </c:pt>
                <c:pt idx="6">
                  <c:v>Colombia</c:v>
                </c:pt>
                <c:pt idx="7">
                  <c:v>China</c:v>
                </c:pt>
                <c:pt idx="8">
                  <c:v>Chile</c:v>
                </c:pt>
                <c:pt idx="9">
                  <c:v>Brazil</c:v>
                </c:pt>
              </c:strCache>
            </c:strRef>
          </c:cat>
          <c:val>
            <c:numRef>
              <c:f>Sheet1!$B$2:$B$11</c:f>
              <c:numCache>
                <c:formatCode>General</c:formatCode>
                <c:ptCount val="10"/>
                <c:pt idx="0">
                  <c:v>65.2</c:v>
                </c:pt>
                <c:pt idx="1">
                  <c:v>74.599999999999994</c:v>
                </c:pt>
                <c:pt idx="2">
                  <c:v>59.9</c:v>
                </c:pt>
                <c:pt idx="3">
                  <c:v>80.599999999999994</c:v>
                </c:pt>
                <c:pt idx="4">
                  <c:v>82.5</c:v>
                </c:pt>
                <c:pt idx="5">
                  <c:v>80</c:v>
                </c:pt>
                <c:pt idx="6">
                  <c:v>86.4</c:v>
                </c:pt>
                <c:pt idx="7">
                  <c:v>82.8</c:v>
                </c:pt>
                <c:pt idx="8">
                  <c:v>79.3</c:v>
                </c:pt>
                <c:pt idx="9">
                  <c:v>80.400000000000006</c:v>
                </c:pt>
              </c:numCache>
            </c:numRef>
          </c:val>
          <c:extLst xmlns:c16r2="http://schemas.microsoft.com/office/drawing/2015/06/chart">
            <c:ext xmlns:c16="http://schemas.microsoft.com/office/drawing/2014/chart" uri="{C3380CC4-5D6E-409C-BE32-E72D297353CC}">
              <c16:uniqueId val="{00000000-457D-47C5-A400-88A814B8DDF7}"/>
            </c:ext>
          </c:extLst>
        </c:ser>
        <c:ser>
          <c:idx val="1"/>
          <c:order val="1"/>
          <c:tx>
            <c:strRef>
              <c:f>Sheet1!$C$1</c:f>
              <c:strCache>
                <c:ptCount val="1"/>
                <c:pt idx="0">
                  <c:v>Female</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Sheet1!$A$2:$A$11</c:f>
              <c:strCache>
                <c:ptCount val="10"/>
                <c:pt idx="0">
                  <c:v>South Africa</c:v>
                </c:pt>
                <c:pt idx="1">
                  <c:v>Sub-Saharan Africa</c:v>
                </c:pt>
                <c:pt idx="2">
                  <c:v>Nigeria</c:v>
                </c:pt>
                <c:pt idx="3">
                  <c:v>Malaysia</c:v>
                </c:pt>
                <c:pt idx="4">
                  <c:v>Mexico</c:v>
                </c:pt>
                <c:pt idx="5">
                  <c:v>Ghana</c:v>
                </c:pt>
                <c:pt idx="6">
                  <c:v>Colombia</c:v>
                </c:pt>
                <c:pt idx="7">
                  <c:v>China</c:v>
                </c:pt>
                <c:pt idx="8">
                  <c:v>Chile</c:v>
                </c:pt>
                <c:pt idx="9">
                  <c:v>Brazil</c:v>
                </c:pt>
              </c:strCache>
            </c:strRef>
          </c:cat>
          <c:val>
            <c:numRef>
              <c:f>Sheet1!$C$2:$C$11</c:f>
              <c:numCache>
                <c:formatCode>General</c:formatCode>
                <c:ptCount val="10"/>
                <c:pt idx="0">
                  <c:v>52.2</c:v>
                </c:pt>
                <c:pt idx="1">
                  <c:v>64.3</c:v>
                </c:pt>
                <c:pt idx="2">
                  <c:v>50.3</c:v>
                </c:pt>
                <c:pt idx="3">
                  <c:v>54.7</c:v>
                </c:pt>
                <c:pt idx="4">
                  <c:v>47.3</c:v>
                </c:pt>
                <c:pt idx="5">
                  <c:v>76.3</c:v>
                </c:pt>
                <c:pt idx="6">
                  <c:v>63.8</c:v>
                </c:pt>
                <c:pt idx="7">
                  <c:v>68.8</c:v>
                </c:pt>
                <c:pt idx="8">
                  <c:v>57.5</c:v>
                </c:pt>
                <c:pt idx="9">
                  <c:v>59.5</c:v>
                </c:pt>
              </c:numCache>
            </c:numRef>
          </c:val>
          <c:extLst xmlns:c16r2="http://schemas.microsoft.com/office/drawing/2015/06/chart">
            <c:ext xmlns:c16="http://schemas.microsoft.com/office/drawing/2014/chart" uri="{C3380CC4-5D6E-409C-BE32-E72D297353CC}">
              <c16:uniqueId val="{00000001-457D-47C5-A400-88A814B8DDF7}"/>
            </c:ext>
          </c:extLst>
        </c:ser>
        <c:dLbls>
          <c:showLegendKey val="0"/>
          <c:showVal val="1"/>
          <c:showCatName val="0"/>
          <c:showSerName val="0"/>
          <c:showPercent val="0"/>
          <c:showBubbleSize val="0"/>
        </c:dLbls>
        <c:gapWidth val="84"/>
        <c:gapDepth val="53"/>
        <c:shape val="box"/>
        <c:axId val="304422912"/>
        <c:axId val="304424448"/>
        <c:axId val="0"/>
      </c:bar3DChart>
      <c:catAx>
        <c:axId val="304422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304424448"/>
        <c:crosses val="autoZero"/>
        <c:auto val="1"/>
        <c:lblAlgn val="ctr"/>
        <c:lblOffset val="100"/>
        <c:noMultiLvlLbl val="0"/>
      </c:catAx>
      <c:valAx>
        <c:axId val="304424448"/>
        <c:scaling>
          <c:orientation val="minMax"/>
        </c:scaling>
        <c:delete val="1"/>
        <c:axPos val="l"/>
        <c:numFmt formatCode="General" sourceLinked="1"/>
        <c:majorTickMark val="out"/>
        <c:minorTickMark val="none"/>
        <c:tickLblPos val="nextTo"/>
        <c:crossAx val="3044229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Sheet1!$B$1</c:f>
              <c:strCache>
                <c:ptCount val="1"/>
                <c:pt idx="0">
                  <c:v>Men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Sheet1!$A$2:$A$12</c:f>
              <c:strCache>
                <c:ptCount val="11"/>
                <c:pt idx="0">
                  <c:v>Total</c:v>
                </c:pt>
                <c:pt idx="1">
                  <c:v>Private Household</c:v>
                </c:pt>
                <c:pt idx="2">
                  <c:v>Services</c:v>
                </c:pt>
                <c:pt idx="3">
                  <c:v>Trade</c:v>
                </c:pt>
                <c:pt idx="4">
                  <c:v>Finance</c:v>
                </c:pt>
                <c:pt idx="5">
                  <c:v>Manufacturing</c:v>
                </c:pt>
                <c:pt idx="6">
                  <c:v>Agriculture</c:v>
                </c:pt>
                <c:pt idx="7">
                  <c:v>Utilities</c:v>
                </c:pt>
                <c:pt idx="8">
                  <c:v>Transport</c:v>
                </c:pt>
                <c:pt idx="9">
                  <c:v>Mining</c:v>
                </c:pt>
                <c:pt idx="10">
                  <c:v>Construction</c:v>
                </c:pt>
              </c:strCache>
            </c:strRef>
          </c:cat>
          <c:val>
            <c:numRef>
              <c:f>Sheet1!$B$2:$B$12</c:f>
              <c:numCache>
                <c:formatCode>0.00%</c:formatCode>
                <c:ptCount val="11"/>
                <c:pt idx="0">
                  <c:v>0.56399999999999995</c:v>
                </c:pt>
                <c:pt idx="1">
                  <c:v>0.23499999999999999</c:v>
                </c:pt>
                <c:pt idx="2">
                  <c:v>0.39100000000000001</c:v>
                </c:pt>
                <c:pt idx="3">
                  <c:v>0.52400000000000002</c:v>
                </c:pt>
                <c:pt idx="4">
                  <c:v>0.58299999999999996</c:v>
                </c:pt>
                <c:pt idx="5">
                  <c:v>0.66600000000000004</c:v>
                </c:pt>
                <c:pt idx="6">
                  <c:v>0.69499999999999995</c:v>
                </c:pt>
                <c:pt idx="7">
                  <c:v>0.71599999999999997</c:v>
                </c:pt>
                <c:pt idx="8">
                  <c:v>0.81100000000000005</c:v>
                </c:pt>
                <c:pt idx="9">
                  <c:v>0.86499999999999999</c:v>
                </c:pt>
                <c:pt idx="10">
                  <c:v>0.88900000000000001</c:v>
                </c:pt>
              </c:numCache>
            </c:numRef>
          </c:val>
          <c:extLst xmlns:c16r2="http://schemas.microsoft.com/office/drawing/2015/06/chart">
            <c:ext xmlns:c16="http://schemas.microsoft.com/office/drawing/2014/chart" uri="{C3380CC4-5D6E-409C-BE32-E72D297353CC}">
              <c16:uniqueId val="{00000000-68FE-432C-A579-F498A9FA9DC3}"/>
            </c:ext>
          </c:extLst>
        </c:ser>
        <c:ser>
          <c:idx val="1"/>
          <c:order val="1"/>
          <c:tx>
            <c:strRef>
              <c:f>Sheet1!$C$1</c:f>
              <c:strCache>
                <c:ptCount val="1"/>
                <c:pt idx="0">
                  <c:v>Women</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Sheet1!$A$2:$A$12</c:f>
              <c:strCache>
                <c:ptCount val="11"/>
                <c:pt idx="0">
                  <c:v>Total</c:v>
                </c:pt>
                <c:pt idx="1">
                  <c:v>Private Household</c:v>
                </c:pt>
                <c:pt idx="2">
                  <c:v>Services</c:v>
                </c:pt>
                <c:pt idx="3">
                  <c:v>Trade</c:v>
                </c:pt>
                <c:pt idx="4">
                  <c:v>Finance</c:v>
                </c:pt>
                <c:pt idx="5">
                  <c:v>Manufacturing</c:v>
                </c:pt>
                <c:pt idx="6">
                  <c:v>Agriculture</c:v>
                </c:pt>
                <c:pt idx="7">
                  <c:v>Utilities</c:v>
                </c:pt>
                <c:pt idx="8">
                  <c:v>Transport</c:v>
                </c:pt>
                <c:pt idx="9">
                  <c:v>Mining</c:v>
                </c:pt>
                <c:pt idx="10">
                  <c:v>Construction</c:v>
                </c:pt>
              </c:strCache>
            </c:strRef>
          </c:cat>
          <c:val>
            <c:numRef>
              <c:f>Sheet1!$C$2:$C$12</c:f>
              <c:numCache>
                <c:formatCode>0.00%</c:formatCode>
                <c:ptCount val="11"/>
                <c:pt idx="0">
                  <c:v>0.436</c:v>
                </c:pt>
                <c:pt idx="1">
                  <c:v>0.76500000000000001</c:v>
                </c:pt>
                <c:pt idx="2">
                  <c:v>0.60899999999999999</c:v>
                </c:pt>
                <c:pt idx="3">
                  <c:v>0.47599999999999998</c:v>
                </c:pt>
                <c:pt idx="4">
                  <c:v>0.41699999999999998</c:v>
                </c:pt>
                <c:pt idx="5">
                  <c:v>0.33400000000000002</c:v>
                </c:pt>
                <c:pt idx="6">
                  <c:v>0.30499999999999999</c:v>
                </c:pt>
                <c:pt idx="7">
                  <c:v>0.28399999999999997</c:v>
                </c:pt>
                <c:pt idx="8">
                  <c:v>0.189</c:v>
                </c:pt>
                <c:pt idx="9">
                  <c:v>0.13500000000000001</c:v>
                </c:pt>
                <c:pt idx="10">
                  <c:v>0.111</c:v>
                </c:pt>
              </c:numCache>
            </c:numRef>
          </c:val>
          <c:extLst xmlns:c16r2="http://schemas.microsoft.com/office/drawing/2015/06/chart">
            <c:ext xmlns:c16="http://schemas.microsoft.com/office/drawing/2014/chart" uri="{C3380CC4-5D6E-409C-BE32-E72D297353CC}">
              <c16:uniqueId val="{00000001-68FE-432C-A579-F498A9FA9DC3}"/>
            </c:ext>
          </c:extLst>
        </c:ser>
        <c:dLbls>
          <c:showLegendKey val="0"/>
          <c:showVal val="1"/>
          <c:showCatName val="0"/>
          <c:showSerName val="0"/>
          <c:showPercent val="0"/>
          <c:showBubbleSize val="0"/>
        </c:dLbls>
        <c:gapWidth val="150"/>
        <c:shape val="box"/>
        <c:axId val="304460160"/>
        <c:axId val="304461696"/>
        <c:axId val="0"/>
      </c:bar3DChart>
      <c:catAx>
        <c:axId val="3044601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04461696"/>
        <c:crosses val="autoZero"/>
        <c:auto val="1"/>
        <c:lblAlgn val="ctr"/>
        <c:lblOffset val="100"/>
        <c:noMultiLvlLbl val="0"/>
      </c:catAx>
      <c:valAx>
        <c:axId val="30446169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0446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Both sexes</c:v>
                </c:pt>
              </c:strCache>
            </c:strRef>
          </c:tx>
          <c:spPr>
            <a:solidFill>
              <a:schemeClr val="accent1"/>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2010</c:v>
                </c:pt>
                <c:pt idx="1">
                  <c:v>2012</c:v>
                </c:pt>
                <c:pt idx="2">
                  <c:v>2015</c:v>
                </c:pt>
                <c:pt idx="3">
                  <c:v>2018</c:v>
                </c:pt>
              </c:numCache>
            </c:numRef>
          </c:cat>
          <c:val>
            <c:numRef>
              <c:f>Sheet1!$B$2:$B$5</c:f>
              <c:numCache>
                <c:formatCode>0.00%</c:formatCode>
                <c:ptCount val="4"/>
                <c:pt idx="0">
                  <c:v>0.125</c:v>
                </c:pt>
                <c:pt idx="1">
                  <c:v>0.11700000000000001</c:v>
                </c:pt>
                <c:pt idx="2">
                  <c:v>0.127</c:v>
                </c:pt>
                <c:pt idx="3">
                  <c:v>0.13400000000000001</c:v>
                </c:pt>
              </c:numCache>
            </c:numRef>
          </c:val>
          <c:extLst xmlns:c16r2="http://schemas.microsoft.com/office/drawing/2015/06/chart">
            <c:ext xmlns:c16="http://schemas.microsoft.com/office/drawing/2014/chart" uri="{C3380CC4-5D6E-409C-BE32-E72D297353CC}">
              <c16:uniqueId val="{00000000-AAB2-4F08-8B09-52C2585D4B66}"/>
            </c:ext>
          </c:extLst>
        </c:ser>
        <c:ser>
          <c:idx val="1"/>
          <c:order val="1"/>
          <c:tx>
            <c:strRef>
              <c:f>Sheet1!$C$1</c:f>
              <c:strCache>
                <c:ptCount val="1"/>
                <c:pt idx="0">
                  <c:v>Women</c:v>
                </c:pt>
              </c:strCache>
            </c:strRef>
          </c:tx>
          <c:spPr>
            <a:solidFill>
              <a:schemeClr val="accent2"/>
            </a:solidFill>
            <a:ln>
              <a:noFill/>
            </a:ln>
            <a:effectLst/>
            <a:sp3d/>
          </c:spPr>
          <c:invertIfNegative val="0"/>
          <c:dLbls>
            <c:dLbl>
              <c:idx val="0"/>
              <c:layout>
                <c:manualLayout>
                  <c:x val="1.6203703703703703E-2"/>
                  <c:y val="7.53968253968253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AB2-4F08-8B09-52C2585D4B66}"/>
                </c:ext>
              </c:extLst>
            </c:dLbl>
            <c:dLbl>
              <c:idx val="1"/>
              <c:layout>
                <c:manualLayout>
                  <c:x val="1.3888888888888888E-2"/>
                  <c:y val="7.14285714285713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AB2-4F08-8B09-52C2585D4B66}"/>
                </c:ext>
              </c:extLst>
            </c:dLbl>
            <c:dLbl>
              <c:idx val="2"/>
              <c:layout>
                <c:manualLayout>
                  <c:x val="1.3888888888888805E-2"/>
                  <c:y val="6.74603174603174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AB2-4F08-8B09-52C2585D4B66}"/>
                </c:ext>
              </c:extLst>
            </c:dLbl>
            <c:dLbl>
              <c:idx val="3"/>
              <c:layout>
                <c:manualLayout>
                  <c:x val="1.3888888888888888E-2"/>
                  <c:y val="7.14285714285713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AB2-4F08-8B09-52C2585D4B6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2010</c:v>
                </c:pt>
                <c:pt idx="1">
                  <c:v>2012</c:v>
                </c:pt>
                <c:pt idx="2">
                  <c:v>2015</c:v>
                </c:pt>
                <c:pt idx="3">
                  <c:v>2018</c:v>
                </c:pt>
              </c:numCache>
            </c:numRef>
          </c:cat>
          <c:val>
            <c:numRef>
              <c:f>Sheet1!$C$2:$C$5</c:f>
              <c:numCache>
                <c:formatCode>0.00%</c:formatCode>
                <c:ptCount val="4"/>
                <c:pt idx="0">
                  <c:v>0.11600000000000001</c:v>
                </c:pt>
                <c:pt idx="1">
                  <c:v>0.105</c:v>
                </c:pt>
                <c:pt idx="2">
                  <c:v>0.107</c:v>
                </c:pt>
                <c:pt idx="3" formatCode="0%">
                  <c:v>0.11</c:v>
                </c:pt>
              </c:numCache>
            </c:numRef>
          </c:val>
          <c:extLst xmlns:c16r2="http://schemas.microsoft.com/office/drawing/2015/06/chart">
            <c:ext xmlns:c16="http://schemas.microsoft.com/office/drawing/2014/chart" uri="{C3380CC4-5D6E-409C-BE32-E72D297353CC}">
              <c16:uniqueId val="{00000005-AAB2-4F08-8B09-52C2585D4B66}"/>
            </c:ext>
          </c:extLst>
        </c:ser>
        <c:ser>
          <c:idx val="2"/>
          <c:order val="2"/>
          <c:tx>
            <c:strRef>
              <c:f>Sheet1!$D$1</c:f>
              <c:strCache>
                <c:ptCount val="1"/>
                <c:pt idx="0">
                  <c:v>Men</c:v>
                </c:pt>
              </c:strCache>
            </c:strRef>
          </c:tx>
          <c:spPr>
            <a:solidFill>
              <a:schemeClr val="accent3"/>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2010</c:v>
                </c:pt>
                <c:pt idx="1">
                  <c:v>2012</c:v>
                </c:pt>
                <c:pt idx="2">
                  <c:v>2015</c:v>
                </c:pt>
                <c:pt idx="3">
                  <c:v>2018</c:v>
                </c:pt>
              </c:numCache>
            </c:numRef>
          </c:cat>
          <c:val>
            <c:numRef>
              <c:f>Sheet1!$D$2:$D$5</c:f>
              <c:numCache>
                <c:formatCode>0.00%</c:formatCode>
                <c:ptCount val="4"/>
                <c:pt idx="0">
                  <c:v>0.13200000000000001</c:v>
                </c:pt>
                <c:pt idx="1">
                  <c:v>0.128</c:v>
                </c:pt>
                <c:pt idx="2">
                  <c:v>0.14299999999999999</c:v>
                </c:pt>
                <c:pt idx="3">
                  <c:v>0.153</c:v>
                </c:pt>
              </c:numCache>
            </c:numRef>
          </c:val>
          <c:extLst xmlns:c16r2="http://schemas.microsoft.com/office/drawing/2015/06/chart">
            <c:ext xmlns:c16="http://schemas.microsoft.com/office/drawing/2014/chart" uri="{C3380CC4-5D6E-409C-BE32-E72D297353CC}">
              <c16:uniqueId val="{00000006-AAB2-4F08-8B09-52C2585D4B66}"/>
            </c:ext>
          </c:extLst>
        </c:ser>
        <c:dLbls>
          <c:showLegendKey val="0"/>
          <c:showVal val="0"/>
          <c:showCatName val="0"/>
          <c:showSerName val="0"/>
          <c:showPercent val="0"/>
          <c:showBubbleSize val="0"/>
        </c:dLbls>
        <c:gapWidth val="150"/>
        <c:shape val="box"/>
        <c:axId val="304623616"/>
        <c:axId val="304625152"/>
        <c:axId val="0"/>
      </c:bar3DChart>
      <c:catAx>
        <c:axId val="304623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625152"/>
        <c:crosses val="autoZero"/>
        <c:auto val="1"/>
        <c:lblAlgn val="ctr"/>
        <c:lblOffset val="100"/>
        <c:noMultiLvlLbl val="0"/>
      </c:catAx>
      <c:valAx>
        <c:axId val="304625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62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Sheet1!$C$33:$D$33</c:f>
              <c:strCache>
                <c:ptCount val="1"/>
                <c:pt idx="0">
                  <c:v>Adult Mortality Rate Female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Sheet1!$E$32:$I$32</c:f>
              <c:numCache>
                <c:formatCode>General</c:formatCode>
                <c:ptCount val="5"/>
                <c:pt idx="0">
                  <c:v>2012</c:v>
                </c:pt>
                <c:pt idx="1">
                  <c:v>2013</c:v>
                </c:pt>
                <c:pt idx="2">
                  <c:v>2014</c:v>
                </c:pt>
                <c:pt idx="3">
                  <c:v>2015</c:v>
                </c:pt>
                <c:pt idx="4">
                  <c:v>2016</c:v>
                </c:pt>
              </c:numCache>
            </c:numRef>
          </c:cat>
          <c:val>
            <c:numRef>
              <c:f>Sheet1!$E$33:$I$33</c:f>
              <c:numCache>
                <c:formatCode>0%</c:formatCode>
                <c:ptCount val="5"/>
                <c:pt idx="0">
                  <c:v>0.32</c:v>
                </c:pt>
                <c:pt idx="1">
                  <c:v>0.3</c:v>
                </c:pt>
                <c:pt idx="2">
                  <c:v>0.28000000000000003</c:v>
                </c:pt>
                <c:pt idx="3">
                  <c:v>0.28000000000000003</c:v>
                </c:pt>
                <c:pt idx="4">
                  <c:v>0.27</c:v>
                </c:pt>
              </c:numCache>
            </c:numRef>
          </c:val>
          <c:smooth val="0"/>
          <c:extLst xmlns:c16r2="http://schemas.microsoft.com/office/drawing/2015/06/chart">
            <c:ext xmlns:c16="http://schemas.microsoft.com/office/drawing/2014/chart" uri="{C3380CC4-5D6E-409C-BE32-E72D297353CC}">
              <c16:uniqueId val="{00000000-724F-4D64-B83E-47A24574A6E5}"/>
            </c:ext>
          </c:extLst>
        </c:ser>
        <c:ser>
          <c:idx val="1"/>
          <c:order val="1"/>
          <c:tx>
            <c:strRef>
              <c:f>Sheet1!$C$34:$D$34</c:f>
              <c:strCache>
                <c:ptCount val="1"/>
                <c:pt idx="0">
                  <c:v>Adult Mortality Rate Male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Sheet1!$E$32:$I$32</c:f>
              <c:numCache>
                <c:formatCode>General</c:formatCode>
                <c:ptCount val="5"/>
                <c:pt idx="0">
                  <c:v>2012</c:v>
                </c:pt>
                <c:pt idx="1">
                  <c:v>2013</c:v>
                </c:pt>
                <c:pt idx="2">
                  <c:v>2014</c:v>
                </c:pt>
                <c:pt idx="3">
                  <c:v>2015</c:v>
                </c:pt>
                <c:pt idx="4">
                  <c:v>2016</c:v>
                </c:pt>
              </c:numCache>
            </c:numRef>
          </c:cat>
          <c:val>
            <c:numRef>
              <c:f>Sheet1!$E$34:$I$34</c:f>
              <c:numCache>
                <c:formatCode>0%</c:formatCode>
                <c:ptCount val="5"/>
                <c:pt idx="0">
                  <c:v>0.44</c:v>
                </c:pt>
                <c:pt idx="1">
                  <c:v>0.42</c:v>
                </c:pt>
                <c:pt idx="2">
                  <c:v>0.4</c:v>
                </c:pt>
                <c:pt idx="3">
                  <c:v>0.4</c:v>
                </c:pt>
                <c:pt idx="4">
                  <c:v>0.39</c:v>
                </c:pt>
              </c:numCache>
            </c:numRef>
          </c:val>
          <c:smooth val="0"/>
          <c:extLst xmlns:c16r2="http://schemas.microsoft.com/office/drawing/2015/06/chart">
            <c:ext xmlns:c16="http://schemas.microsoft.com/office/drawing/2014/chart" uri="{C3380CC4-5D6E-409C-BE32-E72D297353CC}">
              <c16:uniqueId val="{00000001-724F-4D64-B83E-47A24574A6E5}"/>
            </c:ext>
          </c:extLst>
        </c:ser>
        <c:ser>
          <c:idx val="2"/>
          <c:order val="2"/>
          <c:tx>
            <c:strRef>
              <c:f>Sheet1!$C$35:$D$35</c:f>
              <c:strCache>
                <c:ptCount val="1"/>
                <c:pt idx="0">
                  <c:v>Adult Mortality Rate Total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Sheet1!$E$32:$I$32</c:f>
              <c:numCache>
                <c:formatCode>General</c:formatCode>
                <c:ptCount val="5"/>
                <c:pt idx="0">
                  <c:v>2012</c:v>
                </c:pt>
                <c:pt idx="1">
                  <c:v>2013</c:v>
                </c:pt>
                <c:pt idx="2">
                  <c:v>2014</c:v>
                </c:pt>
                <c:pt idx="3">
                  <c:v>2015</c:v>
                </c:pt>
                <c:pt idx="4">
                  <c:v>2016</c:v>
                </c:pt>
              </c:numCache>
            </c:numRef>
          </c:cat>
          <c:val>
            <c:numRef>
              <c:f>Sheet1!$E$35:$I$35</c:f>
              <c:numCache>
                <c:formatCode>0%</c:formatCode>
                <c:ptCount val="5"/>
                <c:pt idx="0">
                  <c:v>0.38</c:v>
                </c:pt>
                <c:pt idx="1">
                  <c:v>0.36</c:v>
                </c:pt>
                <c:pt idx="2">
                  <c:v>0.34</c:v>
                </c:pt>
                <c:pt idx="3">
                  <c:v>0.34</c:v>
                </c:pt>
                <c:pt idx="4">
                  <c:v>0.33</c:v>
                </c:pt>
              </c:numCache>
            </c:numRef>
          </c:val>
          <c:smooth val="0"/>
          <c:extLst xmlns:c16r2="http://schemas.microsoft.com/office/drawing/2015/06/chart">
            <c:ext xmlns:c16="http://schemas.microsoft.com/office/drawing/2014/chart" uri="{C3380CC4-5D6E-409C-BE32-E72D297353CC}">
              <c16:uniqueId val="{00000002-724F-4D64-B83E-47A24574A6E5}"/>
            </c:ext>
          </c:extLst>
        </c:ser>
        <c:dLbls>
          <c:showLegendKey val="0"/>
          <c:showVal val="0"/>
          <c:showCatName val="0"/>
          <c:showSerName val="0"/>
          <c:showPercent val="0"/>
          <c:showBubbleSize val="0"/>
        </c:dLbls>
        <c:marker val="1"/>
        <c:smooth val="0"/>
        <c:axId val="304555136"/>
        <c:axId val="304556672"/>
      </c:lineChart>
      <c:catAx>
        <c:axId val="30455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556672"/>
        <c:crosses val="autoZero"/>
        <c:auto val="1"/>
        <c:lblAlgn val="ctr"/>
        <c:lblOffset val="100"/>
        <c:noMultiLvlLbl val="0"/>
      </c:catAx>
      <c:valAx>
        <c:axId val="304556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55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ZA" sz="1000">
                <a:latin typeface="Arial" pitchFamily="34" charset="0"/>
                <a:cs typeface="Arial" pitchFamily="34" charset="0"/>
              </a:rPr>
              <a:t>Infant</a:t>
            </a:r>
            <a:r>
              <a:rPr lang="en-ZA" sz="1000" baseline="0">
                <a:latin typeface="Arial" pitchFamily="34" charset="0"/>
                <a:cs typeface="Arial" pitchFamily="34" charset="0"/>
              </a:rPr>
              <a:t> mortality rate  (per 1000 live births)</a:t>
            </a:r>
            <a:endParaRPr lang="en-ZA" sz="10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'[infant mortality.xlsx]Sheet1'!$A$10</c:f>
              <c:strCache>
                <c:ptCount val="1"/>
                <c:pt idx="0">
                  <c:v>%</c:v>
                </c:pt>
              </c:strCache>
            </c:strRef>
          </c:tx>
          <c:invertIfNegative val="0"/>
          <c:cat>
            <c:numRef>
              <c:f>'[infant mortality.xlsx]Sheet1'!$B$9:$G$9</c:f>
              <c:numCache>
                <c:formatCode>General</c:formatCode>
                <c:ptCount val="6"/>
                <c:pt idx="0">
                  <c:v>1974</c:v>
                </c:pt>
                <c:pt idx="1">
                  <c:v>1990</c:v>
                </c:pt>
                <c:pt idx="2">
                  <c:v>2000</c:v>
                </c:pt>
                <c:pt idx="3">
                  <c:v>2010</c:v>
                </c:pt>
                <c:pt idx="4">
                  <c:v>2015</c:v>
                </c:pt>
                <c:pt idx="5">
                  <c:v>2017</c:v>
                </c:pt>
              </c:numCache>
            </c:numRef>
          </c:cat>
          <c:val>
            <c:numRef>
              <c:f>'[infant mortality.xlsx]Sheet1'!$B$10:$G$10</c:f>
              <c:numCache>
                <c:formatCode>General</c:formatCode>
                <c:ptCount val="6"/>
                <c:pt idx="0">
                  <c:v>90.7</c:v>
                </c:pt>
                <c:pt idx="1">
                  <c:v>46.9</c:v>
                </c:pt>
                <c:pt idx="2">
                  <c:v>52.1</c:v>
                </c:pt>
                <c:pt idx="3">
                  <c:v>38.4</c:v>
                </c:pt>
                <c:pt idx="4">
                  <c:v>31.8</c:v>
                </c:pt>
                <c:pt idx="5">
                  <c:v>28.8</c:v>
                </c:pt>
              </c:numCache>
            </c:numRef>
          </c:val>
          <c:extLst xmlns:c16r2="http://schemas.microsoft.com/office/drawing/2015/06/chart">
            <c:ext xmlns:c16="http://schemas.microsoft.com/office/drawing/2014/chart" uri="{C3380CC4-5D6E-409C-BE32-E72D297353CC}">
              <c16:uniqueId val="{00000000-600E-4232-B308-929F75DBCDD3}"/>
            </c:ext>
          </c:extLst>
        </c:ser>
        <c:dLbls>
          <c:showLegendKey val="0"/>
          <c:showVal val="0"/>
          <c:showCatName val="0"/>
          <c:showSerName val="0"/>
          <c:showPercent val="0"/>
          <c:showBubbleSize val="0"/>
        </c:dLbls>
        <c:gapWidth val="150"/>
        <c:axId val="304794240"/>
        <c:axId val="304800128"/>
      </c:barChart>
      <c:catAx>
        <c:axId val="304794240"/>
        <c:scaling>
          <c:orientation val="minMax"/>
        </c:scaling>
        <c:delete val="0"/>
        <c:axPos val="b"/>
        <c:numFmt formatCode="General" sourceLinked="1"/>
        <c:majorTickMark val="out"/>
        <c:minorTickMark val="none"/>
        <c:tickLblPos val="nextTo"/>
        <c:crossAx val="304800128"/>
        <c:crosses val="autoZero"/>
        <c:auto val="1"/>
        <c:lblAlgn val="ctr"/>
        <c:lblOffset val="100"/>
        <c:noMultiLvlLbl val="0"/>
      </c:catAx>
      <c:valAx>
        <c:axId val="304800128"/>
        <c:scaling>
          <c:orientation val="minMax"/>
        </c:scaling>
        <c:delete val="0"/>
        <c:axPos val="l"/>
        <c:majorGridlines/>
        <c:numFmt formatCode="General" sourceLinked="1"/>
        <c:majorTickMark val="out"/>
        <c:minorTickMark val="none"/>
        <c:tickLblPos val="nextTo"/>
        <c:crossAx val="304794240"/>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ZA" sz="1000">
                <a:latin typeface="Arial" pitchFamily="34" charset="0"/>
                <a:cs typeface="Arial" pitchFamily="34" charset="0"/>
              </a:rPr>
              <a:t>Male &amp; Female </a:t>
            </a:r>
          </a:p>
          <a:p>
            <a:pPr>
              <a:defRPr sz="1000"/>
            </a:pPr>
            <a:r>
              <a:rPr lang="en-ZA" sz="1000">
                <a:latin typeface="Arial" pitchFamily="34" charset="0"/>
                <a:cs typeface="Arial" pitchFamily="34" charset="0"/>
              </a:rPr>
              <a:t>Infant</a:t>
            </a:r>
            <a:r>
              <a:rPr lang="en-ZA" sz="1000" baseline="0">
                <a:latin typeface="Arial" pitchFamily="34" charset="0"/>
                <a:cs typeface="Arial" pitchFamily="34" charset="0"/>
              </a:rPr>
              <a:t> Mortality rate (per 1000 live births)</a:t>
            </a:r>
            <a:endParaRPr lang="en-ZA" sz="10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'[infant mortality.xlsx]Sheet1'!$B$14</c:f>
              <c:strCache>
                <c:ptCount val="1"/>
                <c:pt idx="0">
                  <c:v>Female</c:v>
                </c:pt>
              </c:strCache>
            </c:strRef>
          </c:tx>
          <c:invertIfNegative val="0"/>
          <c:cat>
            <c:numRef>
              <c:f>'[infant mortality.xlsx]Sheet1'!$C$13:$G$13</c:f>
              <c:numCache>
                <c:formatCode>General</c:formatCode>
                <c:ptCount val="5"/>
                <c:pt idx="0">
                  <c:v>1990</c:v>
                </c:pt>
                <c:pt idx="1">
                  <c:v>2000</c:v>
                </c:pt>
                <c:pt idx="2">
                  <c:v>2010</c:v>
                </c:pt>
                <c:pt idx="3">
                  <c:v>2015</c:v>
                </c:pt>
                <c:pt idx="4">
                  <c:v>2017</c:v>
                </c:pt>
              </c:numCache>
            </c:numRef>
          </c:cat>
          <c:val>
            <c:numRef>
              <c:f>'[infant mortality.xlsx]Sheet1'!$C$14:$G$14</c:f>
              <c:numCache>
                <c:formatCode>General</c:formatCode>
                <c:ptCount val="5"/>
                <c:pt idx="0">
                  <c:v>41.7</c:v>
                </c:pt>
                <c:pt idx="1">
                  <c:v>46.6</c:v>
                </c:pt>
                <c:pt idx="2">
                  <c:v>34.1</c:v>
                </c:pt>
                <c:pt idx="3">
                  <c:v>28.1</c:v>
                </c:pt>
                <c:pt idx="4">
                  <c:v>25.3</c:v>
                </c:pt>
              </c:numCache>
            </c:numRef>
          </c:val>
          <c:extLst xmlns:c16r2="http://schemas.microsoft.com/office/drawing/2015/06/chart">
            <c:ext xmlns:c16="http://schemas.microsoft.com/office/drawing/2014/chart" uri="{C3380CC4-5D6E-409C-BE32-E72D297353CC}">
              <c16:uniqueId val="{00000000-9A9A-4758-8404-91DDE19EDDC9}"/>
            </c:ext>
          </c:extLst>
        </c:ser>
        <c:ser>
          <c:idx val="1"/>
          <c:order val="1"/>
          <c:tx>
            <c:strRef>
              <c:f>'[infant mortality.xlsx]Sheet1'!$B$15</c:f>
              <c:strCache>
                <c:ptCount val="1"/>
                <c:pt idx="0">
                  <c:v>male </c:v>
                </c:pt>
              </c:strCache>
            </c:strRef>
          </c:tx>
          <c:invertIfNegative val="0"/>
          <c:cat>
            <c:numRef>
              <c:f>'[infant mortality.xlsx]Sheet1'!$C$13:$G$13</c:f>
              <c:numCache>
                <c:formatCode>General</c:formatCode>
                <c:ptCount val="5"/>
                <c:pt idx="0">
                  <c:v>1990</c:v>
                </c:pt>
                <c:pt idx="1">
                  <c:v>2000</c:v>
                </c:pt>
                <c:pt idx="2">
                  <c:v>2010</c:v>
                </c:pt>
                <c:pt idx="3">
                  <c:v>2015</c:v>
                </c:pt>
                <c:pt idx="4">
                  <c:v>2017</c:v>
                </c:pt>
              </c:numCache>
            </c:numRef>
          </c:cat>
          <c:val>
            <c:numRef>
              <c:f>'[infant mortality.xlsx]Sheet1'!$C$15:$G$15</c:f>
              <c:numCache>
                <c:formatCode>General</c:formatCode>
                <c:ptCount val="5"/>
                <c:pt idx="0">
                  <c:v>51.9</c:v>
                </c:pt>
                <c:pt idx="1">
                  <c:v>57.4</c:v>
                </c:pt>
                <c:pt idx="2">
                  <c:v>42.5</c:v>
                </c:pt>
                <c:pt idx="3">
                  <c:v>35.299999999999997</c:v>
                </c:pt>
                <c:pt idx="4">
                  <c:v>32</c:v>
                </c:pt>
              </c:numCache>
            </c:numRef>
          </c:val>
          <c:extLst xmlns:c16r2="http://schemas.microsoft.com/office/drawing/2015/06/chart">
            <c:ext xmlns:c16="http://schemas.microsoft.com/office/drawing/2014/chart" uri="{C3380CC4-5D6E-409C-BE32-E72D297353CC}">
              <c16:uniqueId val="{00000001-9A9A-4758-8404-91DDE19EDDC9}"/>
            </c:ext>
          </c:extLst>
        </c:ser>
        <c:dLbls>
          <c:showLegendKey val="0"/>
          <c:showVal val="0"/>
          <c:showCatName val="0"/>
          <c:showSerName val="0"/>
          <c:showPercent val="0"/>
          <c:showBubbleSize val="0"/>
        </c:dLbls>
        <c:gapWidth val="150"/>
        <c:axId val="305039232"/>
        <c:axId val="305040768"/>
      </c:barChart>
      <c:catAx>
        <c:axId val="305039232"/>
        <c:scaling>
          <c:orientation val="minMax"/>
        </c:scaling>
        <c:delete val="0"/>
        <c:axPos val="b"/>
        <c:numFmt formatCode="General" sourceLinked="1"/>
        <c:majorTickMark val="out"/>
        <c:minorTickMark val="none"/>
        <c:tickLblPos val="nextTo"/>
        <c:crossAx val="305040768"/>
        <c:crosses val="autoZero"/>
        <c:auto val="1"/>
        <c:lblAlgn val="ctr"/>
        <c:lblOffset val="100"/>
        <c:noMultiLvlLbl val="0"/>
      </c:catAx>
      <c:valAx>
        <c:axId val="305040768"/>
        <c:scaling>
          <c:orientation val="minMax"/>
        </c:scaling>
        <c:delete val="0"/>
        <c:axPos val="l"/>
        <c:majorGridlines/>
        <c:numFmt formatCode="General" sourceLinked="1"/>
        <c:majorTickMark val="out"/>
        <c:minorTickMark val="none"/>
        <c:tickLblPos val="nextTo"/>
        <c:crossAx val="305039232"/>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'[Access to Servises.xlsx]HIV Prev'!$A$3</c:f>
              <c:strCache>
                <c:ptCount val="1"/>
                <c:pt idx="0">
                  <c:v>Women 15-49</c:v>
                </c:pt>
              </c:strCache>
            </c:strRef>
          </c:tx>
          <c:cat>
            <c:numRef>
              <c:f>'[Access to Servises.xlsx]HIV Prev'!$B$2:$Q$2</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'[Access to Servises.xlsx]HIV Prev'!$B$3:$Q$3</c:f>
              <c:numCache>
                <c:formatCode>General</c:formatCode>
                <c:ptCount val="16"/>
                <c:pt idx="0">
                  <c:v>20.23</c:v>
                </c:pt>
                <c:pt idx="1">
                  <c:v>20.420000000000002</c:v>
                </c:pt>
                <c:pt idx="2">
                  <c:v>20.56</c:v>
                </c:pt>
                <c:pt idx="3">
                  <c:v>20.65</c:v>
                </c:pt>
                <c:pt idx="4">
                  <c:v>20.7</c:v>
                </c:pt>
                <c:pt idx="5">
                  <c:v>20.79</c:v>
                </c:pt>
                <c:pt idx="6">
                  <c:v>21</c:v>
                </c:pt>
                <c:pt idx="7">
                  <c:v>21.16</c:v>
                </c:pt>
                <c:pt idx="8">
                  <c:v>21.31</c:v>
                </c:pt>
                <c:pt idx="9">
                  <c:v>21.45</c:v>
                </c:pt>
                <c:pt idx="10">
                  <c:v>21.53</c:v>
                </c:pt>
                <c:pt idx="11">
                  <c:v>21.48</c:v>
                </c:pt>
                <c:pt idx="12">
                  <c:v>21.4</c:v>
                </c:pt>
                <c:pt idx="13">
                  <c:v>21.34</c:v>
                </c:pt>
                <c:pt idx="14">
                  <c:v>21.29</c:v>
                </c:pt>
                <c:pt idx="15">
                  <c:v>21.17</c:v>
                </c:pt>
              </c:numCache>
            </c:numRef>
          </c:val>
          <c:smooth val="0"/>
          <c:extLst xmlns:c16r2="http://schemas.microsoft.com/office/drawing/2015/06/chart">
            <c:ext xmlns:c16="http://schemas.microsoft.com/office/drawing/2014/chart" uri="{C3380CC4-5D6E-409C-BE32-E72D297353CC}">
              <c16:uniqueId val="{00000000-532D-4F87-A83B-584F019A1038}"/>
            </c:ext>
          </c:extLst>
        </c:ser>
        <c:ser>
          <c:idx val="1"/>
          <c:order val="1"/>
          <c:tx>
            <c:strRef>
              <c:f>'[Access to Servises.xlsx]HIV Prev'!$A$4</c:f>
              <c:strCache>
                <c:ptCount val="1"/>
                <c:pt idx="0">
                  <c:v>Adults 15-49</c:v>
                </c:pt>
              </c:strCache>
            </c:strRef>
          </c:tx>
          <c:cat>
            <c:numRef>
              <c:f>'[Access to Servises.xlsx]HIV Prev'!$B$2:$Q$2</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'[Access to Servises.xlsx]HIV Prev'!$B$4:$Q$4</c:f>
              <c:numCache>
                <c:formatCode>General</c:formatCode>
                <c:ptCount val="16"/>
                <c:pt idx="0">
                  <c:v>17.649999999999999</c:v>
                </c:pt>
                <c:pt idx="1">
                  <c:v>17.77</c:v>
                </c:pt>
                <c:pt idx="2">
                  <c:v>17.850000000000001</c:v>
                </c:pt>
                <c:pt idx="3">
                  <c:v>17.89</c:v>
                </c:pt>
                <c:pt idx="4">
                  <c:v>17.899999999999999</c:v>
                </c:pt>
                <c:pt idx="5">
                  <c:v>17.95</c:v>
                </c:pt>
                <c:pt idx="6">
                  <c:v>18.11</c:v>
                </c:pt>
                <c:pt idx="7">
                  <c:v>18.22</c:v>
                </c:pt>
                <c:pt idx="8">
                  <c:v>18.309999999999999</c:v>
                </c:pt>
                <c:pt idx="9">
                  <c:v>18.39</c:v>
                </c:pt>
                <c:pt idx="10">
                  <c:v>18.43</c:v>
                </c:pt>
                <c:pt idx="11">
                  <c:v>18.350000000000001</c:v>
                </c:pt>
                <c:pt idx="12">
                  <c:v>18.25</c:v>
                </c:pt>
                <c:pt idx="13">
                  <c:v>18.170000000000002</c:v>
                </c:pt>
                <c:pt idx="14">
                  <c:v>18.100000000000001</c:v>
                </c:pt>
                <c:pt idx="15">
                  <c:v>17.98</c:v>
                </c:pt>
              </c:numCache>
            </c:numRef>
          </c:val>
          <c:smooth val="0"/>
          <c:extLst xmlns:c16r2="http://schemas.microsoft.com/office/drawing/2015/06/chart">
            <c:ext xmlns:c16="http://schemas.microsoft.com/office/drawing/2014/chart" uri="{C3380CC4-5D6E-409C-BE32-E72D297353CC}">
              <c16:uniqueId val="{00000001-532D-4F87-A83B-584F019A1038}"/>
            </c:ext>
          </c:extLst>
        </c:ser>
        <c:ser>
          <c:idx val="2"/>
          <c:order val="2"/>
          <c:tx>
            <c:strRef>
              <c:f>'[Access to Servises.xlsx]HIV Prev'!$A$5</c:f>
              <c:strCache>
                <c:ptCount val="1"/>
                <c:pt idx="0">
                  <c:v>Youth 15-24</c:v>
                </c:pt>
              </c:strCache>
            </c:strRef>
          </c:tx>
          <c:cat>
            <c:numRef>
              <c:f>'[Access to Servises.xlsx]HIV Prev'!$B$2:$Q$2</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'[Access to Servises.xlsx]HIV Prev'!$B$5:$Q$5</c:f>
              <c:numCache>
                <c:formatCode>General</c:formatCode>
                <c:ptCount val="16"/>
                <c:pt idx="0">
                  <c:v>7.31</c:v>
                </c:pt>
                <c:pt idx="1">
                  <c:v>7.02</c:v>
                </c:pt>
                <c:pt idx="2">
                  <c:v>6.86</c:v>
                </c:pt>
                <c:pt idx="3">
                  <c:v>6.78</c:v>
                </c:pt>
                <c:pt idx="4">
                  <c:v>6.71</c:v>
                </c:pt>
                <c:pt idx="5">
                  <c:v>6.6</c:v>
                </c:pt>
                <c:pt idx="6">
                  <c:v>6.56</c:v>
                </c:pt>
                <c:pt idx="7">
                  <c:v>6.48</c:v>
                </c:pt>
                <c:pt idx="8">
                  <c:v>6.32</c:v>
                </c:pt>
                <c:pt idx="9">
                  <c:v>6.09</c:v>
                </c:pt>
                <c:pt idx="10">
                  <c:v>5.82</c:v>
                </c:pt>
                <c:pt idx="11">
                  <c:v>5.45</c:v>
                </c:pt>
                <c:pt idx="12">
                  <c:v>5.12</c:v>
                </c:pt>
                <c:pt idx="13">
                  <c:v>4.92</c:v>
                </c:pt>
                <c:pt idx="14">
                  <c:v>4.79</c:v>
                </c:pt>
                <c:pt idx="15">
                  <c:v>4.6399999999999997</c:v>
                </c:pt>
              </c:numCache>
            </c:numRef>
          </c:val>
          <c:smooth val="0"/>
          <c:extLst xmlns:c16r2="http://schemas.microsoft.com/office/drawing/2015/06/chart">
            <c:ext xmlns:c16="http://schemas.microsoft.com/office/drawing/2014/chart" uri="{C3380CC4-5D6E-409C-BE32-E72D297353CC}">
              <c16:uniqueId val="{00000002-532D-4F87-A83B-584F019A1038}"/>
            </c:ext>
          </c:extLst>
        </c:ser>
        <c:ser>
          <c:idx val="3"/>
          <c:order val="3"/>
          <c:tx>
            <c:strRef>
              <c:f>'[Access to Servises.xlsx]HIV Prev'!$A$6</c:f>
              <c:strCache>
                <c:ptCount val="1"/>
                <c:pt idx="0">
                  <c:v>Total Population</c:v>
                </c:pt>
              </c:strCache>
            </c:strRef>
          </c:tx>
          <c:cat>
            <c:numRef>
              <c:f>'[Access to Servises.xlsx]HIV Prev'!$B$2:$Q$2</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'[Access to Servises.xlsx]HIV Prev'!$B$6:$Q$6</c:f>
              <c:numCache>
                <c:formatCode>General</c:formatCode>
                <c:ptCount val="16"/>
                <c:pt idx="0">
                  <c:v>10.91</c:v>
                </c:pt>
                <c:pt idx="1">
                  <c:v>11.15</c:v>
                </c:pt>
                <c:pt idx="2">
                  <c:v>11.33</c:v>
                </c:pt>
                <c:pt idx="3">
                  <c:v>11.48</c:v>
                </c:pt>
                <c:pt idx="4">
                  <c:v>11.58</c:v>
                </c:pt>
                <c:pt idx="5">
                  <c:v>11.7</c:v>
                </c:pt>
                <c:pt idx="6">
                  <c:v>11.88</c:v>
                </c:pt>
                <c:pt idx="7">
                  <c:v>12.01</c:v>
                </c:pt>
                <c:pt idx="8">
                  <c:v>12.14</c:v>
                </c:pt>
                <c:pt idx="9">
                  <c:v>12.28</c:v>
                </c:pt>
                <c:pt idx="10">
                  <c:v>12.39</c:v>
                </c:pt>
                <c:pt idx="11">
                  <c:v>12.43</c:v>
                </c:pt>
                <c:pt idx="12">
                  <c:v>12.46</c:v>
                </c:pt>
                <c:pt idx="13">
                  <c:v>12.5</c:v>
                </c:pt>
                <c:pt idx="14">
                  <c:v>12.55</c:v>
                </c:pt>
                <c:pt idx="15">
                  <c:v>12.57</c:v>
                </c:pt>
              </c:numCache>
            </c:numRef>
          </c:val>
          <c:smooth val="0"/>
          <c:extLst xmlns:c16r2="http://schemas.microsoft.com/office/drawing/2015/06/chart">
            <c:ext xmlns:c16="http://schemas.microsoft.com/office/drawing/2014/chart" uri="{C3380CC4-5D6E-409C-BE32-E72D297353CC}">
              <c16:uniqueId val="{00000003-532D-4F87-A83B-584F019A1038}"/>
            </c:ext>
          </c:extLst>
        </c:ser>
        <c:dLbls>
          <c:showLegendKey val="0"/>
          <c:showVal val="0"/>
          <c:showCatName val="0"/>
          <c:showSerName val="0"/>
          <c:showPercent val="0"/>
          <c:showBubbleSize val="0"/>
        </c:dLbls>
        <c:marker val="1"/>
        <c:smooth val="0"/>
        <c:axId val="305229184"/>
        <c:axId val="305239168"/>
      </c:lineChart>
      <c:catAx>
        <c:axId val="305229184"/>
        <c:scaling>
          <c:orientation val="minMax"/>
        </c:scaling>
        <c:delete val="0"/>
        <c:axPos val="b"/>
        <c:numFmt formatCode="General" sourceLinked="1"/>
        <c:majorTickMark val="out"/>
        <c:minorTickMark val="none"/>
        <c:tickLblPos val="nextTo"/>
        <c:crossAx val="305239168"/>
        <c:crosses val="autoZero"/>
        <c:auto val="1"/>
        <c:lblAlgn val="ctr"/>
        <c:lblOffset val="100"/>
        <c:noMultiLvlLbl val="0"/>
      </c:catAx>
      <c:valAx>
        <c:axId val="305239168"/>
        <c:scaling>
          <c:orientation val="minMax"/>
        </c:scaling>
        <c:delete val="0"/>
        <c:axPos val="l"/>
        <c:majorGridlines/>
        <c:numFmt formatCode="General" sourceLinked="1"/>
        <c:majorTickMark val="out"/>
        <c:minorTickMark val="none"/>
        <c:tickLblPos val="nextTo"/>
        <c:crossAx val="305229184"/>
        <c:crosses val="autoZero"/>
        <c:crossBetween val="between"/>
      </c:valAx>
    </c:plotArea>
    <c:legend>
      <c:legendPos val="b"/>
      <c:overlay val="0"/>
    </c:legend>
    <c:plotVisOnly val="1"/>
    <c:dispBlanksAs val="gap"/>
    <c:showDLblsOverMax val="0"/>
  </c:chart>
  <c:txPr>
    <a:bodyPr/>
    <a:lstStyle/>
    <a:p>
      <a:pPr>
        <a:defRPr>
          <a:latin typeface="Arial" pitchFamily="34" charset="0"/>
          <a:cs typeface="Arial"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94A37-FAF0-495D-86BF-74E4C0C39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61</Pages>
  <Words>17932</Words>
  <Characters>102218</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ranji.reddy</dc:creator>
  <cp:lastModifiedBy>Shalen Gajadhar</cp:lastModifiedBy>
  <cp:revision>10</cp:revision>
  <cp:lastPrinted>2019-02-26T09:38:00Z</cp:lastPrinted>
  <dcterms:created xsi:type="dcterms:W3CDTF">2019-03-11T23:10:00Z</dcterms:created>
  <dcterms:modified xsi:type="dcterms:W3CDTF">2019-03-12T02:49:00Z</dcterms:modified>
</cp:coreProperties>
</file>