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CC3" w:rsidRDefault="005E3CC3" w:rsidP="005E3CC3">
      <w:pPr>
        <w:pStyle w:val="Heading1"/>
        <w:numPr>
          <w:ilvl w:val="0"/>
          <w:numId w:val="0"/>
        </w:numPr>
        <w:shd w:val="clear" w:color="auto" w:fill="FAFAFA"/>
        <w:spacing w:before="240" w:after="0"/>
        <w:jc w:val="center"/>
        <w:rPr>
          <w:color w:val="385623" w:themeColor="accent6" w:themeShade="80"/>
          <w:szCs w:val="42"/>
        </w:rPr>
      </w:pPr>
      <w:r>
        <w:rPr>
          <w:noProof/>
          <w:color w:val="385623" w:themeColor="accent6" w:themeShade="80"/>
          <w:szCs w:val="42"/>
        </w:rPr>
        <w:drawing>
          <wp:inline distT="0" distB="0" distL="0" distR="0">
            <wp:extent cx="5731510" cy="425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Disability and NDP-July 2019.jpg"/>
                    <pic:cNvPicPr/>
                  </pic:nvPicPr>
                  <pic:blipFill>
                    <a:blip r:embed="rId7">
                      <a:extLst>
                        <a:ext uri="{28A0092B-C50C-407E-A947-70E740481C1C}">
                          <a14:useLocalDpi xmlns:a14="http://schemas.microsoft.com/office/drawing/2010/main" val="0"/>
                        </a:ext>
                      </a:extLst>
                    </a:blip>
                    <a:stretch>
                      <a:fillRect/>
                    </a:stretch>
                  </pic:blipFill>
                  <pic:spPr>
                    <a:xfrm>
                      <a:off x="0" y="0"/>
                      <a:ext cx="5796470" cy="430272"/>
                    </a:xfrm>
                    <a:prstGeom prst="rect">
                      <a:avLst/>
                    </a:prstGeom>
                  </pic:spPr>
                </pic:pic>
              </a:graphicData>
            </a:graphic>
          </wp:inline>
        </w:drawing>
      </w:r>
    </w:p>
    <w:p w:rsidR="00357052" w:rsidRPr="00357052" w:rsidRDefault="00357052" w:rsidP="00357052">
      <w:pPr>
        <w:pStyle w:val="Heading1"/>
        <w:numPr>
          <w:ilvl w:val="0"/>
          <w:numId w:val="0"/>
        </w:numPr>
        <w:shd w:val="clear" w:color="auto" w:fill="FAFAFA"/>
        <w:spacing w:before="240" w:after="0"/>
        <w:ind w:left="567"/>
        <w:jc w:val="center"/>
        <w:rPr>
          <w:color w:val="385623" w:themeColor="accent6" w:themeShade="80"/>
          <w:szCs w:val="42"/>
        </w:rPr>
      </w:pPr>
      <w:r w:rsidRPr="00357052">
        <w:rPr>
          <w:color w:val="385623" w:themeColor="accent6" w:themeShade="80"/>
          <w:szCs w:val="42"/>
        </w:rPr>
        <w:t xml:space="preserve">MARRAKESH TREATY </w:t>
      </w:r>
    </w:p>
    <w:p w:rsidR="00357052" w:rsidRPr="00357052" w:rsidRDefault="00357052" w:rsidP="00357052">
      <w:pPr>
        <w:pStyle w:val="Heading1"/>
        <w:numPr>
          <w:ilvl w:val="0"/>
          <w:numId w:val="0"/>
        </w:numPr>
        <w:shd w:val="clear" w:color="auto" w:fill="FAFAFA"/>
        <w:spacing w:after="240"/>
        <w:jc w:val="center"/>
        <w:rPr>
          <w:color w:val="385623" w:themeColor="accent6" w:themeShade="80"/>
          <w:szCs w:val="42"/>
        </w:rPr>
      </w:pPr>
      <w:r w:rsidRPr="00357052">
        <w:rPr>
          <w:color w:val="385623" w:themeColor="accent6" w:themeShade="80"/>
          <w:szCs w:val="42"/>
        </w:rPr>
        <w:t xml:space="preserve">to facilitate Access </w:t>
      </w:r>
      <w:r>
        <w:rPr>
          <w:color w:val="385623" w:themeColor="accent6" w:themeShade="80"/>
          <w:szCs w:val="42"/>
        </w:rPr>
        <w:t>to Published Works for Persons w</w:t>
      </w:r>
      <w:r w:rsidRPr="00357052">
        <w:rPr>
          <w:color w:val="385623" w:themeColor="accent6" w:themeShade="80"/>
          <w:szCs w:val="42"/>
        </w:rPr>
        <w:t>ho are Blind, Visually Impaired, or Otherwise Print Disabled</w:t>
      </w:r>
    </w:p>
    <w:p w:rsidR="00357052" w:rsidRPr="00357052" w:rsidRDefault="00357052" w:rsidP="00357052">
      <w:pPr>
        <w:tabs>
          <w:tab w:val="left" w:pos="1418"/>
        </w:tabs>
        <w:spacing w:after="0"/>
        <w:ind w:left="1418" w:hanging="1418"/>
        <w:rPr>
          <w:rFonts w:eastAsia="Times New Roman" w:cs="Arial"/>
          <w:color w:val="333333"/>
          <w:sz w:val="14"/>
          <w:szCs w:val="28"/>
          <w:lang w:eastAsia="en-ZA"/>
        </w:rPr>
      </w:pPr>
    </w:p>
    <w:p w:rsidR="00357052" w:rsidRPr="00357052" w:rsidRDefault="00357052" w:rsidP="00357052">
      <w:pPr>
        <w:pStyle w:val="Heading2"/>
        <w:numPr>
          <w:ilvl w:val="0"/>
          <w:numId w:val="0"/>
        </w:numPr>
        <w:shd w:val="clear" w:color="auto" w:fill="FFFFFF"/>
        <w:spacing w:after="120"/>
        <w:ind w:left="792" w:hanging="792"/>
        <w:rPr>
          <w:b w:val="0"/>
          <w:color w:val="auto"/>
          <w:sz w:val="22"/>
          <w:szCs w:val="22"/>
          <w:shd w:val="clear" w:color="auto" w:fill="FAFAFA"/>
        </w:rPr>
      </w:pPr>
      <w:r w:rsidRPr="00357052">
        <w:rPr>
          <w:b w:val="0"/>
          <w:color w:val="auto"/>
          <w:sz w:val="22"/>
          <w:szCs w:val="22"/>
          <w:shd w:val="clear" w:color="auto" w:fill="FAFAFA"/>
        </w:rPr>
        <w:t>The Treaty text was adopted on June 27,</w:t>
      </w:r>
      <w:bookmarkStart w:id="0" w:name="_GoBack"/>
      <w:bookmarkEnd w:id="0"/>
      <w:r w:rsidRPr="00357052">
        <w:rPr>
          <w:b w:val="0"/>
          <w:color w:val="auto"/>
          <w:sz w:val="22"/>
          <w:szCs w:val="22"/>
          <w:shd w:val="clear" w:color="auto" w:fill="FAFAFA"/>
        </w:rPr>
        <w:t xml:space="preserve"> 2013 in Marrakesh. </w:t>
      </w:r>
    </w:p>
    <w:p w:rsidR="00357052" w:rsidRPr="00357052" w:rsidRDefault="00357052" w:rsidP="00357052">
      <w:pPr>
        <w:pStyle w:val="Heading2"/>
        <w:numPr>
          <w:ilvl w:val="0"/>
          <w:numId w:val="0"/>
        </w:numPr>
        <w:shd w:val="clear" w:color="auto" w:fill="FFFFFF"/>
        <w:spacing w:after="120"/>
        <w:rPr>
          <w:b w:val="0"/>
          <w:color w:val="auto"/>
          <w:sz w:val="22"/>
          <w:szCs w:val="22"/>
          <w:shd w:val="clear" w:color="auto" w:fill="FAFAFA"/>
        </w:rPr>
      </w:pPr>
      <w:r w:rsidRPr="00357052">
        <w:rPr>
          <w:b w:val="0"/>
          <w:color w:val="auto"/>
          <w:sz w:val="22"/>
          <w:szCs w:val="22"/>
          <w:shd w:val="clear" w:color="auto" w:fill="FAFAFA"/>
        </w:rPr>
        <w:t>It achieved the deposit of 20 instruments of ratification or accession by eligible parties needed for entry into force on June 30, 2016. The Treaty date of entry into force is three months later, on September 30, 2016.</w:t>
      </w:r>
    </w:p>
    <w:p w:rsidR="00357052" w:rsidRPr="00357052" w:rsidRDefault="00357052" w:rsidP="00357052">
      <w:r w:rsidRPr="00357052">
        <w:rPr>
          <w:b/>
        </w:rPr>
        <w:t>Thedti</w:t>
      </w:r>
      <w:r>
        <w:t xml:space="preserve"> has confirmed that steps are under way to ratify the Marrakesh Treaty.</w:t>
      </w:r>
    </w:p>
    <w:p w:rsidR="00357052" w:rsidRPr="00357052" w:rsidRDefault="00357052" w:rsidP="00357052">
      <w:pPr>
        <w:pStyle w:val="Heading2"/>
        <w:numPr>
          <w:ilvl w:val="0"/>
          <w:numId w:val="0"/>
        </w:numPr>
        <w:shd w:val="clear" w:color="auto" w:fill="FFFFFF"/>
        <w:spacing w:after="120"/>
        <w:ind w:left="792" w:hanging="792"/>
        <w:rPr>
          <w:b w:val="0"/>
          <w:color w:val="auto"/>
          <w:szCs w:val="22"/>
        </w:rPr>
      </w:pPr>
      <w:r w:rsidRPr="00357052">
        <w:rPr>
          <w:color w:val="auto"/>
          <w:szCs w:val="22"/>
          <w:lang w:val="en-GB"/>
        </w:rPr>
        <w:t>What’s the goal of the Treaty?</w:t>
      </w:r>
    </w:p>
    <w:p w:rsidR="00357052" w:rsidRPr="0085384D" w:rsidRDefault="00357052" w:rsidP="00357052">
      <w:pPr>
        <w:shd w:val="clear" w:color="auto" w:fill="FFFFFF"/>
        <w:spacing w:after="120"/>
        <w:rPr>
          <w:rFonts w:cs="Arial"/>
        </w:rPr>
      </w:pPr>
      <w:r w:rsidRPr="0085384D">
        <w:rPr>
          <w:rFonts w:cs="Arial"/>
          <w:lang w:val="en-GB"/>
        </w:rPr>
        <w:t>The goal of the Treaty is to help to end the book famine faced by people who are blind, visually impaired or otherwise print disabled. Currently only some 1-7per cent of the world’s published books ever make it into accessible formats. This is partly due to access barriers in copyright law- something the treaty helps to remove. It does that in two main ways.</w:t>
      </w:r>
    </w:p>
    <w:p w:rsidR="00357052" w:rsidRPr="0085384D" w:rsidRDefault="00357052" w:rsidP="00357052">
      <w:pPr>
        <w:shd w:val="clear" w:color="auto" w:fill="FFFFFF"/>
        <w:spacing w:after="120"/>
        <w:rPr>
          <w:rFonts w:cs="Arial"/>
        </w:rPr>
      </w:pPr>
      <w:r w:rsidRPr="0085384D">
        <w:rPr>
          <w:rFonts w:cs="Arial"/>
          <w:lang w:val="en-GB"/>
        </w:rPr>
        <w:t xml:space="preserve">Firstly, by requiring countries which ratify the Treaty to have an </w:t>
      </w:r>
      <w:r w:rsidRPr="0085384D">
        <w:rPr>
          <w:rFonts w:cs="Arial"/>
          <w:b/>
          <w:bCs/>
          <w:lang w:val="en-GB"/>
        </w:rPr>
        <w:t>exception to domestic copyright law</w:t>
      </w:r>
      <w:r w:rsidRPr="0085384D">
        <w:rPr>
          <w:rStyle w:val="apple-converted-space"/>
          <w:rFonts w:cs="Arial"/>
          <w:lang w:val="en-GB"/>
        </w:rPr>
        <w:t> </w:t>
      </w:r>
      <w:r w:rsidRPr="0085384D">
        <w:rPr>
          <w:rFonts w:cs="Arial"/>
          <w:lang w:val="en-GB"/>
        </w:rPr>
        <w:t>for visually impaired and print disabled people.</w:t>
      </w:r>
      <w:r w:rsidRPr="0085384D">
        <w:rPr>
          <w:rStyle w:val="apple-converted-space"/>
          <w:rFonts w:cs="Arial"/>
          <w:lang w:val="en-GB"/>
        </w:rPr>
        <w:t> </w:t>
      </w:r>
      <w:r w:rsidRPr="0085384D">
        <w:rPr>
          <w:rFonts w:cs="Arial"/>
          <w:lang w:val="en-GB"/>
        </w:rPr>
        <w:t> This means that countries which ratify the treaty must ensure their laws allow blind people and their organisations to make accessible format books without the need to ask permission first from the holder of copyright (e.g. author or publisher). </w:t>
      </w:r>
    </w:p>
    <w:p w:rsidR="00357052" w:rsidRPr="0085384D" w:rsidRDefault="00357052" w:rsidP="00357052">
      <w:pPr>
        <w:shd w:val="clear" w:color="auto" w:fill="FFFFFF"/>
        <w:spacing w:after="120"/>
        <w:rPr>
          <w:rFonts w:cs="Arial"/>
        </w:rPr>
      </w:pPr>
      <w:r w:rsidRPr="0085384D">
        <w:rPr>
          <w:rFonts w:cs="Arial"/>
          <w:lang w:val="en-GB"/>
        </w:rPr>
        <w:t>Secondly, by allowing for</w:t>
      </w:r>
      <w:r w:rsidRPr="0085384D">
        <w:rPr>
          <w:rStyle w:val="apple-converted-space"/>
          <w:rFonts w:cs="Arial"/>
          <w:lang w:val="en-GB"/>
        </w:rPr>
        <w:t> </w:t>
      </w:r>
      <w:r w:rsidRPr="0085384D">
        <w:rPr>
          <w:rFonts w:cs="Arial"/>
          <w:b/>
          <w:bCs/>
          <w:lang w:val="en-GB"/>
        </w:rPr>
        <w:t>import and export</w:t>
      </w:r>
      <w:r w:rsidRPr="0085384D">
        <w:rPr>
          <w:rStyle w:val="apple-converted-space"/>
          <w:rFonts w:cs="Arial"/>
          <w:lang w:val="en-GB"/>
        </w:rPr>
        <w:t> </w:t>
      </w:r>
      <w:r w:rsidRPr="0085384D">
        <w:rPr>
          <w:rFonts w:cs="Arial"/>
          <w:lang w:val="en-GB"/>
        </w:rPr>
        <w:t>of accessible versions of books and other copyrighted works, again without copyright holder permission. </w:t>
      </w:r>
      <w:r w:rsidRPr="0085384D">
        <w:rPr>
          <w:rStyle w:val="apple-converted-space"/>
          <w:rFonts w:cs="Arial"/>
          <w:lang w:val="en-GB"/>
        </w:rPr>
        <w:t> </w:t>
      </w:r>
      <w:r w:rsidRPr="0085384D">
        <w:rPr>
          <w:rFonts w:cs="Arial"/>
          <w:lang w:val="en-GB"/>
        </w:rPr>
        <w:t>This will help to avoid the duplication of transcription efforts in different countries, and also allow those with larger collections of accessible books to share these collections with visually impaired people in countries with fewer resources.</w:t>
      </w:r>
    </w:p>
    <w:p w:rsidR="00357052" w:rsidRPr="0085384D" w:rsidRDefault="00357052" w:rsidP="00357052">
      <w:pPr>
        <w:shd w:val="clear" w:color="auto" w:fill="FFFFFF"/>
        <w:spacing w:after="120"/>
        <w:rPr>
          <w:rFonts w:cs="Arial"/>
        </w:rPr>
      </w:pPr>
      <w:r w:rsidRPr="0085384D">
        <w:rPr>
          <w:rFonts w:cs="Arial"/>
          <w:lang w:val="en-GB"/>
        </w:rPr>
        <w:t>Only so-called “authorised entities”, such as blind people’s organisations, can send accessible books under the treaty’s terms. However, the Treaty allows accessible books to be imported / received either by other “authorised entities” or directly by visually impaired / print disabled individuals.</w:t>
      </w:r>
    </w:p>
    <w:p w:rsidR="00357052" w:rsidRPr="00357052" w:rsidRDefault="00357052" w:rsidP="00357052">
      <w:pPr>
        <w:shd w:val="clear" w:color="auto" w:fill="FFFFFF"/>
        <w:spacing w:after="120"/>
        <w:rPr>
          <w:rFonts w:cs="Arial"/>
          <w:b/>
          <w:bCs/>
          <w:sz w:val="24"/>
          <w:lang w:val="en-GB"/>
        </w:rPr>
      </w:pPr>
      <w:r w:rsidRPr="00357052">
        <w:rPr>
          <w:rFonts w:cs="Arial"/>
          <w:b/>
          <w:bCs/>
          <w:sz w:val="24"/>
          <w:lang w:val="en-GB"/>
        </w:rPr>
        <w:t>Works Covered</w:t>
      </w:r>
    </w:p>
    <w:p w:rsidR="00357052" w:rsidRPr="0085384D" w:rsidRDefault="00357052" w:rsidP="00357052">
      <w:pPr>
        <w:shd w:val="clear" w:color="auto" w:fill="FFFFFF"/>
        <w:spacing w:after="120"/>
        <w:rPr>
          <w:rFonts w:cs="Arial"/>
        </w:rPr>
      </w:pPr>
      <w:r>
        <w:rPr>
          <w:rFonts w:cs="Arial"/>
          <w:lang w:val="en-GB"/>
        </w:rPr>
        <w:t>L</w:t>
      </w:r>
      <w:r w:rsidRPr="0085384D">
        <w:rPr>
          <w:rFonts w:cs="Arial"/>
          <w:lang w:val="en-GB"/>
        </w:rPr>
        <w:t>iterary and artistic works covers books</w:t>
      </w:r>
      <w:r>
        <w:rPr>
          <w:rFonts w:cs="Arial"/>
          <w:lang w:val="en-GB"/>
        </w:rPr>
        <w:t>,</w:t>
      </w:r>
      <w:r w:rsidRPr="0085384D">
        <w:rPr>
          <w:rFonts w:cs="Arial"/>
          <w:lang w:val="en-GB"/>
        </w:rPr>
        <w:t xml:space="preserve"> periodicals and other similar textual works, as well as sheet music. </w:t>
      </w:r>
      <w:r w:rsidRPr="0085384D">
        <w:rPr>
          <w:rStyle w:val="apple-converted-space"/>
          <w:rFonts w:cs="Arial"/>
          <w:lang w:val="en-GB"/>
        </w:rPr>
        <w:t> </w:t>
      </w:r>
      <w:r w:rsidRPr="0085384D">
        <w:rPr>
          <w:rFonts w:cs="Arial"/>
          <w:lang w:val="en-GB"/>
        </w:rPr>
        <w:t>It doesn’t cover films.</w:t>
      </w:r>
      <w:r w:rsidRPr="0085384D">
        <w:rPr>
          <w:rStyle w:val="apple-converted-space"/>
          <w:rFonts w:cs="Arial"/>
          <w:lang w:val="en-GB"/>
        </w:rPr>
        <w:t> </w:t>
      </w:r>
      <w:r w:rsidRPr="0085384D">
        <w:rPr>
          <w:rFonts w:cs="Arial"/>
          <w:lang w:val="en-GB"/>
        </w:rPr>
        <w:t xml:space="preserve"> The Treaty does not allow for the contents of a </w:t>
      </w:r>
      <w:r>
        <w:rPr>
          <w:rFonts w:cs="Arial"/>
          <w:lang w:val="en-GB"/>
        </w:rPr>
        <w:t>w</w:t>
      </w:r>
      <w:r w:rsidRPr="0085384D">
        <w:rPr>
          <w:rFonts w:cs="Arial"/>
          <w:lang w:val="en-GB"/>
        </w:rPr>
        <w:t xml:space="preserve">ork to be changed (e.g. to “easy read”) rather just for the </w:t>
      </w:r>
      <w:r>
        <w:rPr>
          <w:rFonts w:cs="Arial"/>
          <w:lang w:val="en-GB"/>
        </w:rPr>
        <w:t>w</w:t>
      </w:r>
      <w:r w:rsidRPr="0085384D">
        <w:rPr>
          <w:rFonts w:cs="Arial"/>
          <w:lang w:val="en-GB"/>
        </w:rPr>
        <w:t>ork’s contents to be transcribed into an accessible format.</w:t>
      </w:r>
    </w:p>
    <w:p w:rsidR="00357052" w:rsidRPr="0085384D" w:rsidRDefault="00357052" w:rsidP="00357052">
      <w:pPr>
        <w:shd w:val="clear" w:color="auto" w:fill="FFFFFF"/>
        <w:spacing w:after="120"/>
        <w:rPr>
          <w:rFonts w:cs="Arial"/>
        </w:rPr>
      </w:pPr>
      <w:r w:rsidRPr="00357052">
        <w:rPr>
          <w:rFonts w:cs="Arial"/>
          <w:lang w:val="en-GB"/>
        </w:rPr>
        <w:t>A</w:t>
      </w:r>
      <w:r w:rsidRPr="00357052">
        <w:rPr>
          <w:rFonts w:cs="Arial"/>
          <w:bCs/>
          <w:lang w:val="en-GB"/>
        </w:rPr>
        <w:t>ccessible format copy</w:t>
      </w:r>
      <w:r>
        <w:rPr>
          <w:rFonts w:cs="Arial"/>
          <w:bCs/>
          <w:lang w:val="en-GB"/>
        </w:rPr>
        <w:t xml:space="preserve"> </w:t>
      </w:r>
      <w:r w:rsidRPr="0085384D">
        <w:rPr>
          <w:rFonts w:cs="Arial"/>
          <w:lang w:val="en-GB"/>
        </w:rPr>
        <w:t>is a broad definition which does not limit the format or the technique you use to make a book accessible. It allows whichever format will provide</w:t>
      </w:r>
      <w:r w:rsidRPr="0085384D">
        <w:rPr>
          <w:rStyle w:val="apple-converted-space"/>
          <w:rFonts w:cs="Arial"/>
          <w:lang w:val="en-GB"/>
        </w:rPr>
        <w:t> </w:t>
      </w:r>
      <w:r w:rsidRPr="0085384D">
        <w:rPr>
          <w:rFonts w:cs="Arial"/>
          <w:lang w:val="en-GB"/>
        </w:rPr>
        <w:t>access to the work “as feasibly and comfortably as a person without visual impairment or other print disability”.</w:t>
      </w:r>
    </w:p>
    <w:p w:rsidR="00357052" w:rsidRPr="00357052" w:rsidRDefault="00357052" w:rsidP="00357052">
      <w:pPr>
        <w:shd w:val="clear" w:color="auto" w:fill="FFFFFF"/>
        <w:spacing w:after="120"/>
        <w:rPr>
          <w:rFonts w:cs="Arial"/>
          <w:b/>
          <w:bCs/>
          <w:sz w:val="24"/>
          <w:lang w:val="en-GB"/>
        </w:rPr>
      </w:pPr>
      <w:r w:rsidRPr="00357052">
        <w:rPr>
          <w:rFonts w:cs="Arial"/>
          <w:b/>
          <w:bCs/>
          <w:sz w:val="24"/>
          <w:lang w:val="en-GB"/>
        </w:rPr>
        <w:t>Beneficiary Persons</w:t>
      </w:r>
    </w:p>
    <w:p w:rsidR="00357052" w:rsidRPr="0085384D" w:rsidRDefault="00357052" w:rsidP="00357052">
      <w:pPr>
        <w:shd w:val="clear" w:color="auto" w:fill="FFFFFF"/>
        <w:spacing w:after="120"/>
        <w:rPr>
          <w:rFonts w:cs="Arial"/>
        </w:rPr>
      </w:pPr>
      <w:r>
        <w:rPr>
          <w:rFonts w:cs="Arial"/>
          <w:lang w:val="en-GB"/>
        </w:rPr>
        <w:lastRenderedPageBreak/>
        <w:t>It</w:t>
      </w:r>
      <w:r w:rsidRPr="0085384D">
        <w:rPr>
          <w:rFonts w:cs="Arial"/>
          <w:lang w:val="en-GB"/>
        </w:rPr>
        <w:t xml:space="preserve"> includes just about any disability that interferes with the effective reading of printed material. </w:t>
      </w:r>
      <w:r w:rsidRPr="0085384D">
        <w:rPr>
          <w:rStyle w:val="apple-converted-space"/>
          <w:rFonts w:cs="Arial"/>
          <w:lang w:val="en-GB"/>
        </w:rPr>
        <w:t> </w:t>
      </w:r>
      <w:r w:rsidRPr="0085384D">
        <w:rPr>
          <w:rFonts w:cs="Arial"/>
          <w:lang w:val="en-GB"/>
        </w:rPr>
        <w:t>It includes people who are blind, visually impaired, reading disabled (example: dyslexia) or have a physical disability that gets in the way of effectively holding a book, turning pages or focusing on the page.</w:t>
      </w:r>
    </w:p>
    <w:p w:rsidR="00357052" w:rsidRPr="00357052" w:rsidRDefault="00357052" w:rsidP="00357052">
      <w:pPr>
        <w:shd w:val="clear" w:color="auto" w:fill="FFFFFF"/>
        <w:spacing w:after="120"/>
        <w:rPr>
          <w:rFonts w:cs="Arial"/>
          <w:b/>
          <w:bCs/>
          <w:sz w:val="24"/>
          <w:lang w:val="en-GB"/>
        </w:rPr>
      </w:pPr>
      <w:r w:rsidRPr="00357052">
        <w:rPr>
          <w:rFonts w:cs="Arial"/>
          <w:b/>
          <w:bCs/>
          <w:sz w:val="24"/>
          <w:lang w:val="en-GB"/>
        </w:rPr>
        <w:t>Technological Protection Measures (“TPMs”)</w:t>
      </w:r>
    </w:p>
    <w:p w:rsidR="00357052" w:rsidRPr="0085384D" w:rsidRDefault="00357052" w:rsidP="00357052">
      <w:pPr>
        <w:shd w:val="clear" w:color="auto" w:fill="FFFFFF"/>
        <w:spacing w:after="120"/>
        <w:rPr>
          <w:rFonts w:cs="Arial"/>
        </w:rPr>
      </w:pPr>
      <w:r w:rsidRPr="0085384D">
        <w:rPr>
          <w:rFonts w:cs="Arial"/>
          <w:lang w:val="en-GB"/>
        </w:rPr>
        <w:t>These are the sort of “digital padlock” that publishers (and sometimes blind people’s organisations themselves) put on a digital book, to stop it being passed on or accessed illegally. </w:t>
      </w:r>
      <w:r w:rsidRPr="0085384D">
        <w:rPr>
          <w:rStyle w:val="apple-converted-space"/>
          <w:rFonts w:cs="Arial"/>
          <w:lang w:val="en-GB"/>
        </w:rPr>
        <w:t> </w:t>
      </w:r>
      <w:r w:rsidRPr="0085384D">
        <w:rPr>
          <w:rFonts w:cs="Arial"/>
          <w:lang w:val="en-GB"/>
        </w:rPr>
        <w:t>Unfortunately this padlock can also inadvertently block legitimate access by print disabled people, for instance those using screen-reading text-to-speech software. Article 7 therefore says it should be legal to circumvent (i.e. break) TPMs so that a person with a print disability can get access to books. (And only for that purpose)</w:t>
      </w:r>
    </w:p>
    <w:p w:rsidR="00357052" w:rsidRPr="00357052" w:rsidRDefault="00357052" w:rsidP="00357052">
      <w:pPr>
        <w:shd w:val="clear" w:color="auto" w:fill="FFFFFF"/>
        <w:spacing w:after="120"/>
        <w:jc w:val="left"/>
        <w:rPr>
          <w:rFonts w:cs="Arial"/>
          <w:b/>
          <w:sz w:val="24"/>
          <w:lang w:val="en-GB"/>
        </w:rPr>
      </w:pPr>
      <w:r w:rsidRPr="00357052">
        <w:rPr>
          <w:rFonts w:cs="Arial"/>
          <w:b/>
          <w:sz w:val="24"/>
          <w:lang w:val="en-GB"/>
        </w:rPr>
        <w:t>Commercial availability of accessible format books</w:t>
      </w:r>
    </w:p>
    <w:p w:rsidR="00357052" w:rsidRDefault="00357052" w:rsidP="00357052">
      <w:pPr>
        <w:shd w:val="clear" w:color="auto" w:fill="FFFFFF"/>
        <w:spacing w:after="120"/>
        <w:rPr>
          <w:rFonts w:cs="Arial"/>
          <w:lang w:val="en-GB"/>
        </w:rPr>
      </w:pPr>
      <w:r w:rsidRPr="0085384D">
        <w:rPr>
          <w:rFonts w:cs="Arial"/>
          <w:lang w:val="en-GB"/>
        </w:rPr>
        <w:t xml:space="preserve">One of our big concerns going into the Treaty negotiation was that the Treaty might require that you could only send or receive books in accessible formats where they were not deemed to already be available commercially in that format. Meeting such an obligation would have been impossible in practice and rendered the Treaty very difficult or impossible to use. </w:t>
      </w:r>
    </w:p>
    <w:p w:rsidR="00357052" w:rsidRDefault="00357052" w:rsidP="00357052">
      <w:pPr>
        <w:shd w:val="clear" w:color="auto" w:fill="FFFFFF"/>
        <w:spacing w:after="120"/>
        <w:rPr>
          <w:rStyle w:val="apple-converted-space"/>
          <w:rFonts w:cs="Arial"/>
          <w:lang w:val="en-GB"/>
        </w:rPr>
      </w:pPr>
      <w:r w:rsidRPr="0085384D">
        <w:rPr>
          <w:rFonts w:cs="Arial"/>
          <w:lang w:val="en-GB"/>
        </w:rPr>
        <w:t>This concept survived in the Treaty in a much weaker form, which allows countries to choose to have a commerciality requirement in their national copyright law, which some countries like Singapore and Australia already do have. </w:t>
      </w:r>
      <w:r w:rsidRPr="0085384D">
        <w:rPr>
          <w:rStyle w:val="apple-converted-space"/>
          <w:rFonts w:cs="Arial"/>
          <w:lang w:val="en-GB"/>
        </w:rPr>
        <w:t> </w:t>
      </w:r>
    </w:p>
    <w:p w:rsidR="00357052" w:rsidRPr="0085384D" w:rsidRDefault="00357052" w:rsidP="00357052">
      <w:pPr>
        <w:shd w:val="clear" w:color="auto" w:fill="FFFFFF"/>
        <w:spacing w:after="120"/>
        <w:rPr>
          <w:rFonts w:cs="Arial"/>
        </w:rPr>
      </w:pPr>
      <w:r w:rsidRPr="0085384D">
        <w:rPr>
          <w:rFonts w:cs="Arial"/>
          <w:lang w:val="en-GB"/>
        </w:rPr>
        <w:t>Such countries have to let WIPO know formally that their domestic law requires a commerciality test, and also whether they intend it to affect imports of accessible materials into that country from elsewhere.  </w:t>
      </w:r>
      <w:r w:rsidRPr="0085384D">
        <w:rPr>
          <w:rStyle w:val="apple-converted-space"/>
          <w:rFonts w:cs="Arial"/>
          <w:lang w:val="en-GB"/>
        </w:rPr>
        <w:t> </w:t>
      </w:r>
      <w:r w:rsidRPr="0085384D">
        <w:rPr>
          <w:rFonts w:cs="Arial"/>
          <w:lang w:val="en-GB"/>
        </w:rPr>
        <w:t>There is no “commercial availability” requirement for exporters of accessible books.</w:t>
      </w:r>
    </w:p>
    <w:p w:rsidR="00357052" w:rsidRPr="00357052" w:rsidRDefault="00357052" w:rsidP="00357052">
      <w:pPr>
        <w:shd w:val="clear" w:color="auto" w:fill="FFFFFF"/>
        <w:spacing w:after="120"/>
        <w:jc w:val="left"/>
        <w:rPr>
          <w:rFonts w:cs="Arial"/>
          <w:b/>
          <w:sz w:val="24"/>
        </w:rPr>
      </w:pPr>
      <w:r w:rsidRPr="00357052">
        <w:rPr>
          <w:rFonts w:cs="Arial"/>
          <w:b/>
          <w:sz w:val="24"/>
          <w:lang w:val="en-GB"/>
        </w:rPr>
        <w:t>The “Three Step Test”</w:t>
      </w:r>
    </w:p>
    <w:p w:rsidR="00357052" w:rsidRPr="0085384D" w:rsidRDefault="00357052" w:rsidP="00357052">
      <w:pPr>
        <w:pStyle w:val="Heading3"/>
        <w:shd w:val="clear" w:color="auto" w:fill="FFFFFF"/>
        <w:spacing w:before="0" w:after="120"/>
        <w:rPr>
          <w:rFonts w:ascii="Arial" w:hAnsi="Arial" w:cs="Arial"/>
          <w:color w:val="auto"/>
          <w:sz w:val="22"/>
          <w:szCs w:val="22"/>
        </w:rPr>
      </w:pPr>
      <w:r w:rsidRPr="0085384D">
        <w:rPr>
          <w:rFonts w:ascii="Arial" w:hAnsi="Arial" w:cs="Arial"/>
          <w:bCs/>
          <w:color w:val="auto"/>
          <w:sz w:val="22"/>
          <w:szCs w:val="22"/>
          <w:lang w:val="en-GB"/>
        </w:rPr>
        <w:t>This is a concept well-know</w:t>
      </w:r>
      <w:r>
        <w:rPr>
          <w:rFonts w:ascii="Arial" w:hAnsi="Arial" w:cs="Arial"/>
          <w:bCs/>
          <w:color w:val="auto"/>
          <w:sz w:val="22"/>
          <w:szCs w:val="22"/>
          <w:lang w:val="en-GB"/>
        </w:rPr>
        <w:t>n</w:t>
      </w:r>
      <w:r w:rsidRPr="0085384D">
        <w:rPr>
          <w:rFonts w:ascii="Arial" w:hAnsi="Arial" w:cs="Arial"/>
          <w:bCs/>
          <w:color w:val="auto"/>
          <w:sz w:val="22"/>
          <w:szCs w:val="22"/>
          <w:lang w:val="en-GB"/>
        </w:rPr>
        <w:t xml:space="preserve"> to international copyright law experts, but few others. It caused a lot of concern among advocates concerned that it might be a Trojan horse for more extensive commercial availability requirements. </w:t>
      </w:r>
      <w:r w:rsidRPr="0085384D">
        <w:rPr>
          <w:rStyle w:val="apple-converted-space"/>
          <w:rFonts w:ascii="Arial" w:hAnsi="Arial" w:cs="Arial"/>
          <w:bCs/>
          <w:color w:val="auto"/>
          <w:sz w:val="22"/>
          <w:szCs w:val="22"/>
          <w:lang w:val="en-GB"/>
        </w:rPr>
        <w:t> </w:t>
      </w:r>
      <w:r w:rsidRPr="0085384D">
        <w:rPr>
          <w:rFonts w:ascii="Arial" w:hAnsi="Arial" w:cs="Arial"/>
          <w:bCs/>
          <w:color w:val="auto"/>
          <w:sz w:val="22"/>
          <w:szCs w:val="22"/>
          <w:lang w:val="en-GB"/>
        </w:rPr>
        <w:t>It appears all over the treaty, but we don’t think it is likely to get in the way of helping blind people except in rare situations. </w:t>
      </w:r>
    </w:p>
    <w:p w:rsidR="00357052" w:rsidRPr="00357052" w:rsidRDefault="00357052" w:rsidP="00357052">
      <w:pPr>
        <w:shd w:val="clear" w:color="auto" w:fill="FFFFFF"/>
        <w:spacing w:after="120"/>
        <w:rPr>
          <w:rFonts w:cs="Arial"/>
          <w:sz w:val="24"/>
          <w:lang w:val="en-GB"/>
        </w:rPr>
      </w:pPr>
      <w:r w:rsidRPr="00357052">
        <w:rPr>
          <w:rFonts w:cs="Arial"/>
          <w:b/>
          <w:sz w:val="24"/>
          <w:lang w:val="en-GB"/>
        </w:rPr>
        <w:t>The Treaty across the world</w:t>
      </w:r>
    </w:p>
    <w:p w:rsidR="00357052" w:rsidRPr="0085384D" w:rsidRDefault="00357052" w:rsidP="00357052">
      <w:pPr>
        <w:shd w:val="clear" w:color="auto" w:fill="FFFFFF"/>
        <w:spacing w:after="120"/>
        <w:rPr>
          <w:rFonts w:cs="Arial"/>
        </w:rPr>
      </w:pPr>
      <w:r w:rsidRPr="0085384D">
        <w:rPr>
          <w:rFonts w:cs="Arial"/>
          <w:lang w:val="en-GB"/>
        </w:rPr>
        <w:t>With a concerted effort for widespread ratification and implementation, the Treaty will have a huge impact on accessibility for people with print disabilities. </w:t>
      </w:r>
      <w:r w:rsidRPr="0085384D">
        <w:rPr>
          <w:rStyle w:val="apple-converted-space"/>
          <w:rFonts w:cs="Arial"/>
          <w:lang w:val="en-GB"/>
        </w:rPr>
        <w:t> </w:t>
      </w:r>
      <w:r w:rsidRPr="0085384D">
        <w:rPr>
          <w:rFonts w:cs="Arial"/>
          <w:lang w:val="en-GB"/>
        </w:rPr>
        <w:t>It should both promote the domestic production of accessible materials in each country, as well as provide access to books produced elsewhere. </w:t>
      </w:r>
      <w:r w:rsidRPr="0085384D">
        <w:rPr>
          <w:rStyle w:val="apple-converted-space"/>
          <w:rFonts w:cs="Arial"/>
          <w:lang w:val="en-GB"/>
        </w:rPr>
        <w:t> </w:t>
      </w:r>
      <w:r w:rsidRPr="0085384D">
        <w:rPr>
          <w:rFonts w:cs="Arial"/>
          <w:lang w:val="en-GB"/>
        </w:rPr>
        <w:t>This will be important for books in languages that cross national boundaries, languages like English, Spanish, French, Portuguese, Russian, Chinese, Bangla/Bengali, Indonesian, Swahili and so on. </w:t>
      </w:r>
      <w:r w:rsidRPr="0085384D">
        <w:rPr>
          <w:rStyle w:val="apple-converted-space"/>
          <w:rFonts w:cs="Arial"/>
          <w:lang w:val="en-GB"/>
        </w:rPr>
        <w:t> </w:t>
      </w:r>
      <w:r w:rsidRPr="0085384D">
        <w:rPr>
          <w:rFonts w:cs="Arial"/>
          <w:lang w:val="en-GB"/>
        </w:rPr>
        <w:t>It will also be especially important for countries that haven’t traditionally had robust services for people with disabilities: these less wealthy countries should benefit greatly from access to the extensive collections developed in wealthier and larger countries. </w:t>
      </w:r>
    </w:p>
    <w:p w:rsidR="00357052" w:rsidRPr="00357052" w:rsidRDefault="00357052" w:rsidP="00357052">
      <w:pPr>
        <w:pStyle w:val="Heading2"/>
        <w:numPr>
          <w:ilvl w:val="0"/>
          <w:numId w:val="0"/>
        </w:numPr>
        <w:shd w:val="clear" w:color="auto" w:fill="FFFFFF"/>
        <w:spacing w:after="120"/>
        <w:ind w:left="792" w:hanging="792"/>
        <w:rPr>
          <w:color w:val="auto"/>
          <w:szCs w:val="22"/>
          <w:lang w:val="en-GB"/>
        </w:rPr>
      </w:pPr>
      <w:r w:rsidRPr="00357052">
        <w:rPr>
          <w:color w:val="auto"/>
          <w:szCs w:val="22"/>
          <w:lang w:val="en-GB"/>
        </w:rPr>
        <w:t>Conclusion</w:t>
      </w:r>
    </w:p>
    <w:p w:rsidR="00357052" w:rsidRPr="0085384D" w:rsidRDefault="00357052" w:rsidP="00357052">
      <w:pPr>
        <w:shd w:val="clear" w:color="auto" w:fill="FFFFFF"/>
        <w:spacing w:after="120"/>
        <w:rPr>
          <w:rFonts w:cs="Arial"/>
        </w:rPr>
      </w:pPr>
      <w:r>
        <w:rPr>
          <w:rFonts w:cs="Arial"/>
          <w:lang w:val="en-GB"/>
        </w:rPr>
        <w:t>The Treaty</w:t>
      </w:r>
      <w:r w:rsidRPr="0085384D">
        <w:rPr>
          <w:rFonts w:cs="Arial"/>
          <w:lang w:val="en-GB"/>
        </w:rPr>
        <w:t xml:space="preserve"> provides a crucial legal framework for adoption of national copyright exceptions in countries that lack them. </w:t>
      </w:r>
      <w:r w:rsidRPr="0085384D">
        <w:rPr>
          <w:rStyle w:val="apple-converted-space"/>
          <w:rFonts w:cs="Arial"/>
          <w:lang w:val="en-GB"/>
        </w:rPr>
        <w:t> </w:t>
      </w:r>
      <w:r w:rsidRPr="0085384D">
        <w:rPr>
          <w:rFonts w:cs="Arial"/>
          <w:lang w:val="en-GB"/>
        </w:rPr>
        <w:t>It is necessary for ending the book famine, but it is not sufficient. </w:t>
      </w:r>
      <w:r w:rsidRPr="0085384D">
        <w:rPr>
          <w:rStyle w:val="apple-converted-space"/>
          <w:rFonts w:cs="Arial"/>
          <w:lang w:val="en-GB"/>
        </w:rPr>
        <w:t> </w:t>
      </w:r>
      <w:r w:rsidRPr="0085384D">
        <w:rPr>
          <w:rFonts w:cs="Arial"/>
          <w:lang w:val="en-GB"/>
        </w:rPr>
        <w:t>Countries need to sign, ratify and implement its provisions. </w:t>
      </w:r>
      <w:r w:rsidRPr="0085384D">
        <w:rPr>
          <w:rStyle w:val="apple-converted-space"/>
          <w:rFonts w:cs="Arial"/>
          <w:lang w:val="en-GB"/>
        </w:rPr>
        <w:t> </w:t>
      </w:r>
      <w:r w:rsidRPr="0085384D">
        <w:rPr>
          <w:rFonts w:cs="Arial"/>
          <w:lang w:val="en-GB"/>
        </w:rPr>
        <w:t xml:space="preserve"> </w:t>
      </w:r>
    </w:p>
    <w:p w:rsidR="00357052" w:rsidRDefault="00357052" w:rsidP="00357052">
      <w:pPr>
        <w:shd w:val="clear" w:color="auto" w:fill="FFFFFF"/>
        <w:spacing w:after="120"/>
        <w:rPr>
          <w:rStyle w:val="Hyperlink"/>
          <w:rFonts w:cs="Arial"/>
          <w:color w:val="004FA3"/>
          <w:lang w:val="en-GB"/>
        </w:rPr>
      </w:pPr>
      <w:r w:rsidRPr="0085384D">
        <w:rPr>
          <w:rFonts w:cs="Arial"/>
        </w:rPr>
        <w:t> </w:t>
      </w:r>
      <w:hyperlink r:id="rId8" w:history="1">
        <w:r w:rsidRPr="0011689C">
          <w:rPr>
            <w:rStyle w:val="Hyperlink"/>
            <w:rFonts w:cs="Arial"/>
            <w:color w:val="004FA3"/>
            <w:lang w:val="en-GB"/>
          </w:rPr>
          <w:t>http://www.wipo.int/meetings/en/doc_details.jsp?doc_id=241683</w:t>
        </w:r>
      </w:hyperlink>
    </w:p>
    <w:p w:rsidR="00112D6F" w:rsidRPr="00357052" w:rsidRDefault="00357052" w:rsidP="00357052">
      <w:r>
        <w:rPr>
          <w:rFonts w:eastAsia="Times New Roman" w:cs="Arial"/>
          <w:color w:val="333333"/>
          <w:lang w:eastAsia="en-ZA"/>
        </w:rPr>
        <w:lastRenderedPageBreak/>
        <w:t xml:space="preserve">Source: </w:t>
      </w:r>
      <w:hyperlink r:id="rId9" w:history="1">
        <w:r w:rsidRPr="00BE5B69">
          <w:rPr>
            <w:rStyle w:val="Hyperlink"/>
            <w:rFonts w:eastAsia="Times New Roman" w:cs="Arial"/>
            <w:lang w:eastAsia="en-ZA"/>
          </w:rPr>
          <w:t>http://www.worldblindunion.org/english/news/Pages/The-Treaty-of-Marrakesh.aspx</w:t>
        </w:r>
      </w:hyperlink>
    </w:p>
    <w:sectPr w:rsidR="00112D6F" w:rsidRPr="00357052" w:rsidSect="00357052">
      <w:footerReference w:type="default" r:id="rId10"/>
      <w:pgSz w:w="11906" w:h="16838" w:code="9"/>
      <w:pgMar w:top="851" w:right="1440" w:bottom="1440" w:left="1440" w:header="709" w:footer="709" w:gutter="0"/>
      <w:pgBorders w:offsetFrom="page">
        <w:top w:val="thinThickLargeGap" w:sz="24" w:space="24" w:color="385623" w:themeColor="accent6" w:themeShade="80"/>
        <w:left w:val="thinThickLargeGap" w:sz="24" w:space="24" w:color="385623" w:themeColor="accent6" w:themeShade="80"/>
        <w:bottom w:val="thickThinLargeGap" w:sz="24" w:space="24" w:color="385623" w:themeColor="accent6" w:themeShade="80"/>
        <w:right w:val="thickThinLargeGap"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EC1" w:rsidRDefault="00B14EC1" w:rsidP="00112D6F">
      <w:pPr>
        <w:spacing w:after="0" w:line="240" w:lineRule="auto"/>
      </w:pPr>
      <w:r>
        <w:separator/>
      </w:r>
    </w:p>
  </w:endnote>
  <w:endnote w:type="continuationSeparator" w:id="0">
    <w:p w:rsidR="00B14EC1" w:rsidRDefault="00B14EC1" w:rsidP="0011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8F" w:rsidRPr="008F7F30" w:rsidRDefault="00677D8F" w:rsidP="00677D8F">
    <w:pPr>
      <w:spacing w:before="240" w:after="0"/>
      <w:ind w:left="1134" w:right="-561"/>
      <w:jc w:val="center"/>
      <w:rPr>
        <w:rFonts w:cs="Arial"/>
        <w:b/>
        <w:color w:val="538135" w:themeColor="accent6" w:themeShade="BF"/>
        <w:sz w:val="20"/>
        <w:szCs w:val="24"/>
      </w:rPr>
    </w:pPr>
    <w:r>
      <w:rPr>
        <w:rFonts w:cs="Arial"/>
        <w:b/>
        <w:color w:val="538135" w:themeColor="accent6" w:themeShade="BF"/>
        <w:sz w:val="24"/>
        <w:szCs w:val="24"/>
      </w:rPr>
      <w:t xml:space="preserve">   </w:t>
    </w:r>
    <w:r w:rsidRPr="008F7F30">
      <w:rPr>
        <w:rFonts w:cs="Arial"/>
        <w:b/>
        <w:color w:val="538135" w:themeColor="accent6" w:themeShade="BF"/>
        <w:sz w:val="20"/>
        <w:szCs w:val="24"/>
      </w:rPr>
      <w:t>Together building South Africa inclusive of Disability Rights</w:t>
    </w:r>
  </w:p>
  <w:p w:rsidR="00677D8F" w:rsidRDefault="00677D8F" w:rsidP="00677D8F">
    <w:pPr>
      <w:spacing w:after="0"/>
      <w:ind w:left="1134" w:right="95"/>
      <w:jc w:val="center"/>
      <w:rPr>
        <w:rFonts w:cs="Arial"/>
        <w:color w:val="538135" w:themeColor="accent6" w:themeShade="BF"/>
        <w:sz w:val="20"/>
        <w:szCs w:val="24"/>
      </w:rPr>
    </w:pPr>
    <w:r w:rsidRPr="008F7F30">
      <w:rPr>
        <w:rFonts w:cs="Arial"/>
        <w:color w:val="538135" w:themeColor="accent6" w:themeShade="BF"/>
        <w:sz w:val="20"/>
        <w:szCs w:val="24"/>
      </w:rPr>
      <w:t xml:space="preserve">            #DisabilityInclusiveSA</w:t>
    </w:r>
  </w:p>
  <w:p w:rsidR="00112D6F" w:rsidRPr="00677D8F" w:rsidRDefault="00B14EC1" w:rsidP="00677D8F">
    <w:pPr>
      <w:spacing w:after="0"/>
      <w:ind w:left="1134" w:right="95"/>
      <w:jc w:val="center"/>
      <w:rPr>
        <w:rFonts w:cs="Arial"/>
        <w:color w:val="538135" w:themeColor="accent6" w:themeShade="BF"/>
        <w:sz w:val="20"/>
        <w:szCs w:val="24"/>
      </w:rPr>
    </w:pPr>
    <w:hyperlink r:id="rId1" w:history="1">
      <w:r w:rsidR="00677D8F" w:rsidRPr="002E28DF">
        <w:rPr>
          <w:rStyle w:val="Hyperlink"/>
          <w:rFonts w:cs="Arial"/>
          <w:sz w:val="20"/>
          <w:szCs w:val="24"/>
        </w:rPr>
        <w:t>DisabilityRightsSA@dsd.gov.za</w:t>
      </w:r>
    </w:hyperlink>
    <w:r w:rsidR="00677D8F">
      <w:rPr>
        <w:rFonts w:cs="Arial"/>
        <w:color w:val="538135" w:themeColor="accent6" w:themeShade="BF"/>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EC1" w:rsidRDefault="00B14EC1" w:rsidP="00112D6F">
      <w:pPr>
        <w:spacing w:after="0" w:line="240" w:lineRule="auto"/>
      </w:pPr>
      <w:r>
        <w:separator/>
      </w:r>
    </w:p>
  </w:footnote>
  <w:footnote w:type="continuationSeparator" w:id="0">
    <w:p w:rsidR="00B14EC1" w:rsidRDefault="00B14EC1" w:rsidP="00112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630B3"/>
    <w:multiLevelType w:val="multilevel"/>
    <w:tmpl w:val="FB3CB712"/>
    <w:lvl w:ilvl="0">
      <w:start w:val="1"/>
      <w:numFmt w:val="decimal"/>
      <w:pStyle w:val="Title"/>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54F044D3"/>
    <w:multiLevelType w:val="multilevel"/>
    <w:tmpl w:val="8DD48CE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55F88"/>
    <w:multiLevelType w:val="hybridMultilevel"/>
    <w:tmpl w:val="771865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6F"/>
    <w:rsid w:val="00105310"/>
    <w:rsid w:val="00112D6F"/>
    <w:rsid w:val="00357052"/>
    <w:rsid w:val="005E3CC3"/>
    <w:rsid w:val="00677D8F"/>
    <w:rsid w:val="00A865B5"/>
    <w:rsid w:val="00B14EC1"/>
    <w:rsid w:val="00BA6C33"/>
    <w:rsid w:val="00CE73EE"/>
    <w:rsid w:val="00D9098C"/>
    <w:rsid w:val="00E26127"/>
    <w:rsid w:val="00ED08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A86E"/>
  <w15:chartTrackingRefBased/>
  <w15:docId w15:val="{8EDD7171-C64A-47EE-9B8C-8BE4966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52"/>
    <w:pPr>
      <w:spacing w:after="200" w:line="276" w:lineRule="auto"/>
      <w:jc w:val="both"/>
    </w:pPr>
    <w:rPr>
      <w:rFonts w:ascii="Arial" w:hAnsi="Arial"/>
    </w:rPr>
  </w:style>
  <w:style w:type="paragraph" w:styleId="Heading1">
    <w:name w:val="heading 1"/>
    <w:basedOn w:val="Normal"/>
    <w:next w:val="Normal"/>
    <w:link w:val="Heading1Char"/>
    <w:uiPriority w:val="9"/>
    <w:qFormat/>
    <w:rsid w:val="00E26127"/>
    <w:pPr>
      <w:keepNext/>
      <w:keepLines/>
      <w:numPr>
        <w:numId w:val="1"/>
      </w:numPr>
      <w:spacing w:after="360"/>
      <w:outlineLvl w:val="0"/>
    </w:pPr>
    <w:rPr>
      <w:rFonts w:eastAsiaTheme="majorEastAsia" w:cs="Arial"/>
      <w:b/>
      <w:color w:val="538135" w:themeColor="accent6" w:themeShade="BF"/>
      <w:sz w:val="32"/>
      <w:szCs w:val="32"/>
    </w:rPr>
  </w:style>
  <w:style w:type="paragraph" w:styleId="Heading2">
    <w:name w:val="heading 2"/>
    <w:basedOn w:val="Heading1"/>
    <w:next w:val="Normal"/>
    <w:link w:val="Heading2Char"/>
    <w:uiPriority w:val="99"/>
    <w:qFormat/>
    <w:rsid w:val="00E26127"/>
    <w:pPr>
      <w:numPr>
        <w:ilvl w:val="1"/>
      </w:numPr>
      <w:outlineLvl w:val="1"/>
    </w:pPr>
    <w:rPr>
      <w:sz w:val="24"/>
      <w:szCs w:val="28"/>
    </w:rPr>
  </w:style>
  <w:style w:type="paragraph" w:styleId="Heading3">
    <w:name w:val="heading 3"/>
    <w:basedOn w:val="Normal"/>
    <w:next w:val="Normal"/>
    <w:link w:val="Heading3Char"/>
    <w:uiPriority w:val="9"/>
    <w:semiHidden/>
    <w:unhideWhenUsed/>
    <w:qFormat/>
    <w:rsid w:val="00357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6F"/>
  </w:style>
  <w:style w:type="paragraph" w:styleId="Footer">
    <w:name w:val="footer"/>
    <w:basedOn w:val="Normal"/>
    <w:link w:val="FooterChar"/>
    <w:uiPriority w:val="99"/>
    <w:unhideWhenUsed/>
    <w:rsid w:val="00112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6F"/>
  </w:style>
  <w:style w:type="paragraph" w:styleId="ListParagraph">
    <w:name w:val="List Paragraph"/>
    <w:aliases w:val="List Paragraph 1,Table of contents numbered,List Paragraph - 2,Chapter Numbering,Riana Table Bullets 1"/>
    <w:basedOn w:val="Normal"/>
    <w:link w:val="ListParagraphChar"/>
    <w:uiPriority w:val="34"/>
    <w:qFormat/>
    <w:rsid w:val="00112D6F"/>
    <w:pPr>
      <w:ind w:left="720"/>
      <w:contextualSpacing/>
    </w:pPr>
  </w:style>
  <w:style w:type="character" w:customStyle="1" w:styleId="ListParagraphChar">
    <w:name w:val="List Paragraph Char"/>
    <w:aliases w:val="List Paragraph 1 Char,Table of contents numbered Char,List Paragraph - 2 Char,Chapter Numbering Char,Riana Table Bullets 1 Char"/>
    <w:link w:val="ListParagraph"/>
    <w:uiPriority w:val="34"/>
    <w:rsid w:val="00112D6F"/>
  </w:style>
  <w:style w:type="character" w:customStyle="1" w:styleId="Heading1Char">
    <w:name w:val="Heading 1 Char"/>
    <w:basedOn w:val="DefaultParagraphFont"/>
    <w:link w:val="Heading1"/>
    <w:uiPriority w:val="9"/>
    <w:rsid w:val="00E26127"/>
    <w:rPr>
      <w:rFonts w:ascii="Arial" w:eastAsiaTheme="majorEastAsia" w:hAnsi="Arial" w:cs="Arial"/>
      <w:b/>
      <w:color w:val="538135" w:themeColor="accent6" w:themeShade="BF"/>
      <w:sz w:val="32"/>
      <w:szCs w:val="32"/>
    </w:rPr>
  </w:style>
  <w:style w:type="character" w:customStyle="1" w:styleId="Heading2Char">
    <w:name w:val="Heading 2 Char"/>
    <w:basedOn w:val="DefaultParagraphFont"/>
    <w:link w:val="Heading2"/>
    <w:uiPriority w:val="99"/>
    <w:rsid w:val="00E26127"/>
    <w:rPr>
      <w:rFonts w:ascii="Arial" w:eastAsiaTheme="majorEastAsia" w:hAnsi="Arial" w:cs="Arial"/>
      <w:b/>
      <w:color w:val="538135" w:themeColor="accent6" w:themeShade="BF"/>
      <w:sz w:val="24"/>
      <w:szCs w:val="28"/>
    </w:rPr>
  </w:style>
  <w:style w:type="character" w:styleId="Emphasis">
    <w:name w:val="Emphasis"/>
    <w:basedOn w:val="DefaultParagraphFont"/>
    <w:uiPriority w:val="20"/>
    <w:qFormat/>
    <w:rsid w:val="00E26127"/>
    <w:rPr>
      <w:i/>
      <w:iCs/>
    </w:rPr>
  </w:style>
  <w:style w:type="character" w:styleId="FootnoteReference">
    <w:name w:val="footnote reference"/>
    <w:basedOn w:val="DefaultParagraphFont"/>
    <w:uiPriority w:val="99"/>
    <w:semiHidden/>
    <w:unhideWhenUsed/>
    <w:rsid w:val="00E26127"/>
    <w:rPr>
      <w:vertAlign w:val="superscript"/>
    </w:rPr>
  </w:style>
  <w:style w:type="paragraph" w:styleId="FootnoteText">
    <w:name w:val="footnote text"/>
    <w:basedOn w:val="Normal"/>
    <w:link w:val="FootnoteTextChar"/>
    <w:uiPriority w:val="99"/>
    <w:semiHidden/>
    <w:unhideWhenUsed/>
    <w:rsid w:val="00E2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127"/>
    <w:rPr>
      <w:sz w:val="20"/>
      <w:szCs w:val="20"/>
    </w:rPr>
  </w:style>
  <w:style w:type="character" w:styleId="Hyperlink">
    <w:name w:val="Hyperlink"/>
    <w:basedOn w:val="DefaultParagraphFont"/>
    <w:uiPriority w:val="99"/>
    <w:unhideWhenUsed/>
    <w:rsid w:val="00677D8F"/>
    <w:rPr>
      <w:color w:val="0563C1" w:themeColor="hyperlink"/>
      <w:u w:val="single"/>
    </w:rPr>
  </w:style>
  <w:style w:type="character" w:customStyle="1" w:styleId="Heading3Char">
    <w:name w:val="Heading 3 Char"/>
    <w:basedOn w:val="DefaultParagraphFont"/>
    <w:link w:val="Heading3"/>
    <w:uiPriority w:val="9"/>
    <w:semiHidden/>
    <w:rsid w:val="0035705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357052"/>
    <w:pPr>
      <w:numPr>
        <w:numId w:val="2"/>
      </w:numPr>
      <w:spacing w:after="0" w:line="240" w:lineRule="auto"/>
      <w:jc w:val="left"/>
    </w:pPr>
    <w:rPr>
      <w:rFonts w:eastAsia="Times New Roman" w:cs="Times New Roman"/>
      <w:b/>
      <w:color w:val="996600"/>
      <w:sz w:val="36"/>
      <w:szCs w:val="20"/>
    </w:rPr>
  </w:style>
  <w:style w:type="character" w:customStyle="1" w:styleId="TitleChar">
    <w:name w:val="Title Char"/>
    <w:basedOn w:val="DefaultParagraphFont"/>
    <w:link w:val="Title"/>
    <w:rsid w:val="00357052"/>
    <w:rPr>
      <w:rFonts w:ascii="Arial" w:eastAsia="Times New Roman" w:hAnsi="Arial" w:cs="Times New Roman"/>
      <w:b/>
      <w:color w:val="996600"/>
      <w:sz w:val="36"/>
      <w:szCs w:val="20"/>
    </w:rPr>
  </w:style>
  <w:style w:type="character" w:customStyle="1" w:styleId="apple-converted-space">
    <w:name w:val="apple-converted-space"/>
    <w:basedOn w:val="DefaultParagraphFont"/>
    <w:rsid w:val="0035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meetings/en/doc_details.jsp?doc_id=241683"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orldblindunion.org/english/news/Pages/The-Treaty-of-Marrakesh.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sabilityRightsSA@d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Microsoft Office User</cp:lastModifiedBy>
  <cp:revision>3</cp:revision>
  <dcterms:created xsi:type="dcterms:W3CDTF">2019-10-27T10:03:00Z</dcterms:created>
  <dcterms:modified xsi:type="dcterms:W3CDTF">2019-10-30T13:29:00Z</dcterms:modified>
</cp:coreProperties>
</file>