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94CDB" w14:textId="5AFD1B19" w:rsidR="00E552F0" w:rsidRDefault="00E552F0" w:rsidP="00F7503C">
      <w:pPr>
        <w:pStyle w:val="Heading1"/>
        <w:numPr>
          <w:ilvl w:val="0"/>
          <w:numId w:val="0"/>
        </w:numPr>
        <w:ind w:left="360" w:hanging="360"/>
        <w:jc w:val="center"/>
      </w:pPr>
      <w:bookmarkStart w:id="0" w:name="_Toc21864248"/>
      <w:r>
        <w:rPr>
          <w:noProof/>
          <w:lang w:eastAsia="en-ZA"/>
        </w:rPr>
        <w:drawing>
          <wp:inline distT="0" distB="0" distL="0" distR="0" wp14:anchorId="3B0575DC" wp14:editId="60EA9527">
            <wp:extent cx="6300470" cy="467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6300470" cy="467360"/>
                    </a:xfrm>
                    <a:prstGeom prst="rect">
                      <a:avLst/>
                    </a:prstGeom>
                  </pic:spPr>
                </pic:pic>
              </a:graphicData>
            </a:graphic>
          </wp:inline>
        </w:drawing>
      </w:r>
    </w:p>
    <w:p w14:paraId="7D73D44F" w14:textId="5EB63F74" w:rsidR="00F7503C" w:rsidRPr="006414AD" w:rsidRDefault="00F7503C" w:rsidP="00E552F0">
      <w:pPr>
        <w:pStyle w:val="Heading1"/>
        <w:numPr>
          <w:ilvl w:val="0"/>
          <w:numId w:val="0"/>
        </w:numPr>
        <w:jc w:val="center"/>
      </w:pPr>
      <w:r w:rsidRPr="006414AD">
        <w:t>DISABILITY STATISTICS</w:t>
      </w:r>
      <w:bookmarkEnd w:id="0"/>
    </w:p>
    <w:p w14:paraId="5FA4E4F1" w14:textId="77777777" w:rsidR="00F7503C" w:rsidRPr="009C2508" w:rsidRDefault="00F7503C" w:rsidP="00DF12E0">
      <w:pPr>
        <w:spacing w:after="120" w:line="276" w:lineRule="auto"/>
        <w:jc w:val="both"/>
        <w:rPr>
          <w:rFonts w:ascii="Arial" w:hAnsi="Arial" w:cs="Arial"/>
          <w:szCs w:val="24"/>
        </w:rPr>
      </w:pPr>
      <w:r w:rsidRPr="009C2508">
        <w:rPr>
          <w:rFonts w:ascii="Arial" w:hAnsi="Arial" w:cs="Arial"/>
          <w:szCs w:val="24"/>
        </w:rPr>
        <w:t xml:space="preserve">The </w:t>
      </w:r>
      <w:hyperlink r:id="rId8" w:history="1">
        <w:r w:rsidRPr="00F7503C">
          <w:rPr>
            <w:rStyle w:val="Hyperlink"/>
            <w:rFonts w:ascii="Arial" w:hAnsi="Arial" w:cs="Arial"/>
            <w:szCs w:val="24"/>
          </w:rPr>
          <w:t>Census 2011 Disability Report</w:t>
        </w:r>
      </w:hyperlink>
      <w:r w:rsidRPr="009C2508">
        <w:rPr>
          <w:rFonts w:ascii="Arial" w:hAnsi="Arial" w:cs="Arial"/>
          <w:szCs w:val="24"/>
        </w:rPr>
        <w:t xml:space="preserve"> estimates that there are approximately 2,8million (7,4%) persons with disabilities living in South Africa</w:t>
      </w:r>
      <w:r w:rsidR="00DF12E0">
        <w:rPr>
          <w:rFonts w:ascii="Arial" w:hAnsi="Arial" w:cs="Arial"/>
          <w:szCs w:val="24"/>
        </w:rPr>
        <w:t xml:space="preserve">.  </w:t>
      </w:r>
      <w:r w:rsidRPr="009C2508">
        <w:rPr>
          <w:rFonts w:ascii="Arial" w:hAnsi="Arial" w:cs="Arial"/>
          <w:szCs w:val="24"/>
        </w:rPr>
        <w:t xml:space="preserve">This excludes those living in institutions; children under 5 as well as persons with psychosocial disabilities which is difficult to identify using the Washington Group model.  </w:t>
      </w:r>
    </w:p>
    <w:p w14:paraId="53EFD056" w14:textId="77777777" w:rsidR="00F7503C" w:rsidRPr="009C2508" w:rsidRDefault="00F7503C" w:rsidP="00DF12E0">
      <w:pPr>
        <w:tabs>
          <w:tab w:val="left" w:pos="567"/>
        </w:tabs>
        <w:autoSpaceDE w:val="0"/>
        <w:autoSpaceDN w:val="0"/>
        <w:adjustRightInd w:val="0"/>
        <w:spacing w:after="120" w:line="276" w:lineRule="auto"/>
        <w:jc w:val="both"/>
        <w:rPr>
          <w:rFonts w:ascii="Arial" w:hAnsi="Arial" w:cs="Arial"/>
          <w:szCs w:val="24"/>
        </w:rPr>
      </w:pPr>
      <w:r w:rsidRPr="009C2508">
        <w:rPr>
          <w:rFonts w:ascii="Arial" w:hAnsi="Arial" w:cs="Arial"/>
          <w:szCs w:val="24"/>
        </w:rPr>
        <w:t xml:space="preserve">The </w:t>
      </w:r>
      <w:hyperlink r:id="rId9" w:history="1">
        <w:r w:rsidRPr="00F7503C">
          <w:rPr>
            <w:rStyle w:val="Hyperlink"/>
            <w:rFonts w:ascii="Arial" w:hAnsi="Arial" w:cs="Arial"/>
            <w:i/>
            <w:szCs w:val="24"/>
            <w:shd w:val="clear" w:color="auto" w:fill="FFFFFF"/>
          </w:rPr>
          <w:t>Community Survey 2016: Profiling socio economic status and living arrangement of persons with disabilities in South Africa</w:t>
        </w:r>
      </w:hyperlink>
      <w:r w:rsidRPr="009C2508">
        <w:rPr>
          <w:rFonts w:ascii="Arial" w:hAnsi="Arial" w:cs="Arial"/>
          <w:szCs w:val="24"/>
        </w:rPr>
        <w:t xml:space="preserve"> highlights the stark inequalities within the disabled population -   </w:t>
      </w:r>
    </w:p>
    <w:p w14:paraId="32184477" w14:textId="77777777" w:rsidR="00F7503C" w:rsidRPr="009C2508" w:rsidRDefault="00F7503C" w:rsidP="00DF12E0">
      <w:pPr>
        <w:pStyle w:val="ListParagraph"/>
        <w:numPr>
          <w:ilvl w:val="0"/>
          <w:numId w:val="6"/>
        </w:numPr>
        <w:tabs>
          <w:tab w:val="left" w:pos="567"/>
        </w:tabs>
        <w:autoSpaceDE w:val="0"/>
        <w:autoSpaceDN w:val="0"/>
        <w:adjustRightInd w:val="0"/>
        <w:spacing w:after="120" w:line="276" w:lineRule="auto"/>
        <w:ind w:left="425" w:hanging="425"/>
        <w:contextualSpacing w:val="0"/>
        <w:jc w:val="both"/>
        <w:rPr>
          <w:rFonts w:ascii="Arial" w:hAnsi="Arial" w:cs="Arial"/>
          <w:szCs w:val="24"/>
        </w:rPr>
      </w:pPr>
      <w:r w:rsidRPr="009C2508">
        <w:rPr>
          <w:rFonts w:ascii="Arial" w:hAnsi="Arial" w:cs="Arial"/>
          <w:szCs w:val="24"/>
        </w:rPr>
        <w:t>Approximately 36% of persons with disabilities were from households of poor socioeconomic status (17,7% poorest; 18% poorer). (no gender differences)</w:t>
      </w:r>
    </w:p>
    <w:p w14:paraId="68075F2C" w14:textId="77777777" w:rsidR="00F7503C" w:rsidRPr="009C2508" w:rsidRDefault="00F7503C" w:rsidP="00DF12E0">
      <w:pPr>
        <w:pStyle w:val="ListParagraph"/>
        <w:numPr>
          <w:ilvl w:val="0"/>
          <w:numId w:val="5"/>
        </w:numPr>
        <w:autoSpaceDE w:val="0"/>
        <w:autoSpaceDN w:val="0"/>
        <w:adjustRightInd w:val="0"/>
        <w:spacing w:after="0" w:line="276" w:lineRule="auto"/>
        <w:ind w:left="426" w:hanging="426"/>
        <w:contextualSpacing w:val="0"/>
        <w:jc w:val="both"/>
        <w:rPr>
          <w:rFonts w:ascii="Arial" w:hAnsi="Arial" w:cs="Arial"/>
          <w:szCs w:val="24"/>
        </w:rPr>
      </w:pPr>
      <w:r w:rsidRPr="009C2508">
        <w:rPr>
          <w:rFonts w:ascii="Arial" w:hAnsi="Arial" w:cs="Arial"/>
          <w:szCs w:val="24"/>
        </w:rPr>
        <w:t xml:space="preserve">Massive inequalities across population groups. </w:t>
      </w:r>
    </w:p>
    <w:p w14:paraId="7DDB01EF" w14:textId="77777777" w:rsidR="00F7503C" w:rsidRPr="009C2508" w:rsidRDefault="00F7503C" w:rsidP="00DF12E0">
      <w:pPr>
        <w:pStyle w:val="ListParagraph"/>
        <w:numPr>
          <w:ilvl w:val="1"/>
          <w:numId w:val="5"/>
        </w:numPr>
        <w:autoSpaceDE w:val="0"/>
        <w:autoSpaceDN w:val="0"/>
        <w:adjustRightInd w:val="0"/>
        <w:spacing w:after="0" w:line="276" w:lineRule="auto"/>
        <w:ind w:left="850" w:hanging="357"/>
        <w:contextualSpacing w:val="0"/>
        <w:jc w:val="both"/>
        <w:rPr>
          <w:rFonts w:ascii="Arial" w:hAnsi="Arial" w:cs="Arial"/>
          <w:szCs w:val="24"/>
        </w:rPr>
      </w:pPr>
      <w:r w:rsidRPr="009C2508">
        <w:rPr>
          <w:rFonts w:ascii="Arial" w:hAnsi="Arial" w:cs="Arial"/>
          <w:szCs w:val="24"/>
        </w:rPr>
        <w:t xml:space="preserve">Persons with disabilities belonging to white or Indian/Asian population groups were mostly concentrated within the upper wealth quintile (86,8% and 71,9% respectively).  </w:t>
      </w:r>
    </w:p>
    <w:p w14:paraId="55E61DB1" w14:textId="77777777" w:rsidR="00F7503C" w:rsidRPr="009C2508" w:rsidRDefault="00F7503C" w:rsidP="00DF12E0">
      <w:pPr>
        <w:pStyle w:val="ListParagraph"/>
        <w:numPr>
          <w:ilvl w:val="1"/>
          <w:numId w:val="5"/>
        </w:numPr>
        <w:autoSpaceDE w:val="0"/>
        <w:autoSpaceDN w:val="0"/>
        <w:adjustRightInd w:val="0"/>
        <w:spacing w:after="0" w:line="276" w:lineRule="auto"/>
        <w:ind w:left="850" w:hanging="357"/>
        <w:contextualSpacing w:val="0"/>
        <w:jc w:val="both"/>
        <w:rPr>
          <w:rFonts w:ascii="Arial" w:hAnsi="Arial" w:cs="Arial"/>
          <w:szCs w:val="24"/>
        </w:rPr>
      </w:pPr>
      <w:r w:rsidRPr="009C2508">
        <w:rPr>
          <w:rFonts w:ascii="Arial" w:hAnsi="Arial" w:cs="Arial"/>
          <w:szCs w:val="24"/>
        </w:rPr>
        <w:t xml:space="preserve">Black African persons with disabilities most vulnerable depicted by the low socioeconomic status,  </w:t>
      </w:r>
    </w:p>
    <w:p w14:paraId="780DF07B" w14:textId="77777777" w:rsidR="00F7503C" w:rsidRPr="009C2508" w:rsidRDefault="00F7503C" w:rsidP="00DF12E0">
      <w:pPr>
        <w:pStyle w:val="ListParagraph"/>
        <w:numPr>
          <w:ilvl w:val="1"/>
          <w:numId w:val="5"/>
        </w:numPr>
        <w:autoSpaceDE w:val="0"/>
        <w:autoSpaceDN w:val="0"/>
        <w:adjustRightInd w:val="0"/>
        <w:spacing w:after="120" w:line="276" w:lineRule="auto"/>
        <w:ind w:left="851"/>
        <w:contextualSpacing w:val="0"/>
        <w:jc w:val="both"/>
        <w:rPr>
          <w:rFonts w:ascii="Arial" w:hAnsi="Arial" w:cs="Arial"/>
          <w:szCs w:val="24"/>
        </w:rPr>
      </w:pPr>
      <w:r w:rsidRPr="009C2508">
        <w:rPr>
          <w:rFonts w:ascii="Arial" w:hAnsi="Arial" w:cs="Arial"/>
          <w:szCs w:val="24"/>
        </w:rPr>
        <w:t xml:space="preserve">Approximately half in ten black African persons with disabilities (44,7%) were concentrated in the 40% lower quintile, which represent the poor households contrary, less than 5% of persons with disabilities from the Coloured, Indian/Asian and white population groups were in the lowest wealth quintile. </w:t>
      </w:r>
    </w:p>
    <w:p w14:paraId="49CF8F13" w14:textId="77777777" w:rsidR="00F7503C" w:rsidRPr="009C2508"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eastAsia="Wingdings-Regular" w:hAnsi="Arial" w:cs="Arial"/>
          <w:szCs w:val="24"/>
        </w:rPr>
        <w:t>P</w:t>
      </w:r>
      <w:r w:rsidRPr="009C2508">
        <w:rPr>
          <w:rFonts w:ascii="Arial" w:hAnsi="Arial" w:cs="Arial"/>
          <w:szCs w:val="24"/>
        </w:rPr>
        <w:t>rovincial variations in socioeconomic status of persons with disabilities showed that Western Cape and Gauteng provinces had the highest proportion of persons with disabilities in the upper quintile that represents well off households (40,7% and 34,9% respectively)</w:t>
      </w:r>
    </w:p>
    <w:p w14:paraId="3AB0B76D" w14:textId="77777777" w:rsidR="00F7503C" w:rsidRPr="009C2508"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hAnsi="Arial" w:cs="Arial"/>
          <w:szCs w:val="24"/>
        </w:rPr>
        <w:t>Eastern Cape, Limpopo and KwaZulu-Natal provinces had the largest share of persons with disabilities concentrated in low socioeconomic status households (40%, 30,1% and 29,7% respectively).</w:t>
      </w:r>
    </w:p>
    <w:p w14:paraId="28799D2D" w14:textId="77777777" w:rsidR="00F7503C" w:rsidRPr="009C2508"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hAnsi="Arial" w:cs="Arial"/>
          <w:szCs w:val="24"/>
        </w:rPr>
        <w:t>Almost two thirds of persons with disabilities in Limpopo and Eastern Cape were concentrated in the 40% poor households (63,8% and 62,9% respectively).</w:t>
      </w:r>
    </w:p>
    <w:p w14:paraId="5C8F9340" w14:textId="77777777" w:rsidR="00F7503C" w:rsidRPr="009C2508"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hAnsi="Arial" w:cs="Arial"/>
          <w:szCs w:val="24"/>
        </w:rPr>
        <w:t>More than two thirds (70,7%) of persons with disabilities in traditional/tribal areas were concentrated within poor households.  Only about 2% of persons with disabilities in tribal/traditional areas were from wealthy households.</w:t>
      </w:r>
    </w:p>
    <w:p w14:paraId="0B10D82B" w14:textId="77777777" w:rsidR="00F7503C" w:rsidRPr="009C2508"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hAnsi="Arial" w:cs="Arial"/>
          <w:szCs w:val="24"/>
        </w:rPr>
        <w:t xml:space="preserve">The largest percentage of persons with disabilities who resided in non-urban areas (73,6%) were part of households classified as poor. In contrast, about 9,3% were part of wealthy households. </w:t>
      </w:r>
    </w:p>
    <w:p w14:paraId="20419BE6" w14:textId="77777777" w:rsidR="00F7503C" w:rsidRDefault="00F7503C" w:rsidP="00DF12E0">
      <w:pPr>
        <w:pStyle w:val="ListParagraph"/>
        <w:numPr>
          <w:ilvl w:val="0"/>
          <w:numId w:val="5"/>
        </w:numPr>
        <w:autoSpaceDE w:val="0"/>
        <w:autoSpaceDN w:val="0"/>
        <w:adjustRightInd w:val="0"/>
        <w:spacing w:after="120" w:line="276" w:lineRule="auto"/>
        <w:ind w:left="426" w:hanging="426"/>
        <w:contextualSpacing w:val="0"/>
        <w:jc w:val="both"/>
        <w:rPr>
          <w:rFonts w:ascii="Arial" w:hAnsi="Arial" w:cs="Arial"/>
          <w:szCs w:val="24"/>
        </w:rPr>
      </w:pPr>
      <w:r w:rsidRPr="009C2508">
        <w:rPr>
          <w:rFonts w:ascii="Arial" w:hAnsi="Arial" w:cs="Arial"/>
          <w:szCs w:val="24"/>
        </w:rPr>
        <w:t>The urban population profile on contrary showed that more than 60,7% of persons with severe disabilities were part of 20% households regarded as rich. About 17% of persons with severe disabilities in urban areas were residing in households classified as poor. The results showed a clear divide between urban and non-urban areas.</w:t>
      </w:r>
    </w:p>
    <w:p w14:paraId="10069BD4" w14:textId="77777777" w:rsidR="00112D6F" w:rsidRPr="00DF12E0" w:rsidRDefault="00112D6F" w:rsidP="00C94D2D">
      <w:pPr>
        <w:spacing w:after="0"/>
        <w:rPr>
          <w:sz w:val="14"/>
        </w:rPr>
      </w:pPr>
    </w:p>
    <w:p w14:paraId="6E713D8D" w14:textId="269CA0B4" w:rsidR="00E552F0" w:rsidRPr="00E552F0" w:rsidRDefault="00C94D2D" w:rsidP="00E552F0">
      <w:pPr>
        <w:spacing w:after="120" w:line="276" w:lineRule="auto"/>
        <w:jc w:val="center"/>
        <w:rPr>
          <w:rFonts w:ascii="Arial" w:hAnsi="Arial" w:cs="Arial"/>
          <w:sz w:val="20"/>
        </w:rPr>
      </w:pPr>
      <w:r w:rsidRPr="00C94D2D">
        <w:rPr>
          <w:rFonts w:ascii="Arial" w:hAnsi="Arial" w:cs="Arial"/>
          <w:sz w:val="20"/>
        </w:rPr>
        <w:t>For more information:</w:t>
      </w:r>
    </w:p>
    <w:tbl>
      <w:tblPr>
        <w:tblStyle w:val="TableGrid"/>
        <w:tblW w:w="0" w:type="auto"/>
        <w:tblInd w:w="846" w:type="dxa"/>
        <w:tblLook w:val="04A0" w:firstRow="1" w:lastRow="0" w:firstColumn="1" w:lastColumn="0" w:noHBand="0" w:noVBand="1"/>
      </w:tblPr>
      <w:tblGrid>
        <w:gridCol w:w="3964"/>
        <w:gridCol w:w="3964"/>
      </w:tblGrid>
      <w:tr w:rsidR="00DF12E0" w:rsidRPr="00DF12E0" w14:paraId="539312D9" w14:textId="77777777" w:rsidTr="00DF12E0">
        <w:trPr>
          <w:trHeight w:val="813"/>
        </w:trPr>
        <w:tc>
          <w:tcPr>
            <w:tcW w:w="3964" w:type="dxa"/>
          </w:tcPr>
          <w:p w14:paraId="2D06D1D8" w14:textId="77777777" w:rsidR="00DF12E0" w:rsidRPr="00DF12E0" w:rsidRDefault="00DF12E0" w:rsidP="0095316C">
            <w:pPr>
              <w:spacing w:line="276" w:lineRule="auto"/>
              <w:rPr>
                <w:rFonts w:ascii="Arial" w:hAnsi="Arial" w:cs="Arial"/>
                <w:sz w:val="20"/>
              </w:rPr>
            </w:pPr>
            <w:r w:rsidRPr="00DF12E0">
              <w:rPr>
                <w:rFonts w:ascii="Arial" w:hAnsi="Arial" w:cs="Arial"/>
                <w:sz w:val="20"/>
              </w:rPr>
              <w:t>Simmi Pillay</w:t>
            </w:r>
          </w:p>
          <w:p w14:paraId="79AD2933" w14:textId="77777777" w:rsidR="00DF12E0" w:rsidRPr="00DF12E0" w:rsidRDefault="00DF12E0" w:rsidP="0095316C">
            <w:pPr>
              <w:spacing w:line="276" w:lineRule="auto"/>
              <w:rPr>
                <w:rFonts w:ascii="Arial" w:hAnsi="Arial" w:cs="Arial"/>
                <w:sz w:val="20"/>
              </w:rPr>
            </w:pPr>
            <w:r w:rsidRPr="00DF12E0">
              <w:rPr>
                <w:rFonts w:ascii="Arial" w:hAnsi="Arial" w:cs="Arial"/>
                <w:sz w:val="20"/>
              </w:rPr>
              <w:t>Director: Governance and Compliance</w:t>
            </w:r>
          </w:p>
          <w:p w14:paraId="031292A6" w14:textId="77777777" w:rsidR="00DF12E0" w:rsidRPr="00DF12E0" w:rsidRDefault="00DF12E0" w:rsidP="0095316C">
            <w:pPr>
              <w:spacing w:line="276" w:lineRule="auto"/>
              <w:rPr>
                <w:rFonts w:ascii="Arial" w:hAnsi="Arial" w:cs="Arial"/>
                <w:sz w:val="20"/>
              </w:rPr>
            </w:pPr>
            <w:r w:rsidRPr="00DF12E0">
              <w:rPr>
                <w:rFonts w:ascii="Arial" w:hAnsi="Arial" w:cs="Arial"/>
                <w:sz w:val="20"/>
              </w:rPr>
              <w:t xml:space="preserve">Email: </w:t>
            </w:r>
            <w:hyperlink r:id="rId10" w:history="1">
              <w:r w:rsidRPr="00DF12E0">
                <w:rPr>
                  <w:rStyle w:val="Hyperlink"/>
                  <w:rFonts w:ascii="Arial" w:hAnsi="Arial" w:cs="Arial"/>
                  <w:sz w:val="20"/>
                </w:rPr>
                <w:t>SimmiP@dsd.gov.za</w:t>
              </w:r>
            </w:hyperlink>
            <w:r w:rsidRPr="00DF12E0">
              <w:rPr>
                <w:rFonts w:ascii="Arial" w:hAnsi="Arial" w:cs="Arial"/>
                <w:sz w:val="20"/>
              </w:rPr>
              <w:t xml:space="preserve"> </w:t>
            </w:r>
          </w:p>
        </w:tc>
        <w:tc>
          <w:tcPr>
            <w:tcW w:w="3964" w:type="dxa"/>
          </w:tcPr>
          <w:p w14:paraId="7A90AD5D" w14:textId="77777777" w:rsidR="00DF12E0" w:rsidRDefault="00DF12E0" w:rsidP="00DF12E0">
            <w:pPr>
              <w:spacing w:line="276" w:lineRule="auto"/>
              <w:rPr>
                <w:rFonts w:ascii="Arial" w:hAnsi="Arial" w:cs="Arial"/>
                <w:sz w:val="20"/>
              </w:rPr>
            </w:pPr>
            <w:proofErr w:type="spellStart"/>
            <w:r>
              <w:rPr>
                <w:rFonts w:ascii="Arial" w:hAnsi="Arial" w:cs="Arial"/>
                <w:sz w:val="20"/>
              </w:rPr>
              <w:t>Xoliswa</w:t>
            </w:r>
            <w:proofErr w:type="spellEnd"/>
            <w:r>
              <w:rPr>
                <w:rFonts w:ascii="Arial" w:hAnsi="Arial" w:cs="Arial"/>
                <w:sz w:val="20"/>
              </w:rPr>
              <w:t xml:space="preserve"> Ndamase</w:t>
            </w:r>
          </w:p>
          <w:p w14:paraId="1B57B86F" w14:textId="77777777" w:rsidR="00DF12E0" w:rsidRDefault="00DF12E0" w:rsidP="00DF12E0">
            <w:pPr>
              <w:spacing w:line="276" w:lineRule="auto"/>
              <w:rPr>
                <w:rFonts w:ascii="Arial" w:hAnsi="Arial" w:cs="Arial"/>
                <w:sz w:val="20"/>
              </w:rPr>
            </w:pPr>
            <w:r w:rsidRPr="00DF12E0">
              <w:rPr>
                <w:rFonts w:ascii="Arial" w:hAnsi="Arial" w:cs="Arial"/>
                <w:sz w:val="20"/>
              </w:rPr>
              <w:t>Stat</w:t>
            </w:r>
            <w:r>
              <w:rPr>
                <w:rFonts w:ascii="Arial" w:hAnsi="Arial" w:cs="Arial"/>
                <w:sz w:val="20"/>
              </w:rPr>
              <w:t>istic</w:t>
            </w:r>
            <w:r w:rsidRPr="00DF12E0">
              <w:rPr>
                <w:rFonts w:ascii="Arial" w:hAnsi="Arial" w:cs="Arial"/>
                <w:sz w:val="20"/>
              </w:rPr>
              <w:t>s SA</w:t>
            </w:r>
          </w:p>
          <w:p w14:paraId="0F4B373F" w14:textId="77777777" w:rsidR="00DF12E0" w:rsidRPr="00DF12E0" w:rsidRDefault="00FE3236" w:rsidP="00DF12E0">
            <w:pPr>
              <w:spacing w:line="276" w:lineRule="auto"/>
              <w:rPr>
                <w:rFonts w:ascii="Arial" w:hAnsi="Arial" w:cs="Arial"/>
                <w:sz w:val="20"/>
              </w:rPr>
            </w:pPr>
            <w:hyperlink r:id="rId11" w:history="1">
              <w:r w:rsidR="00DF12E0" w:rsidRPr="00443BF3">
                <w:rPr>
                  <w:rStyle w:val="Hyperlink"/>
                  <w:rFonts w:ascii="Arial" w:hAnsi="Arial" w:cs="Arial"/>
                  <w:sz w:val="20"/>
                </w:rPr>
                <w:t>xoliswan@statssa.gov.za</w:t>
              </w:r>
            </w:hyperlink>
            <w:r w:rsidR="00DF12E0">
              <w:rPr>
                <w:rFonts w:ascii="Arial" w:hAnsi="Arial" w:cs="Arial"/>
                <w:sz w:val="20"/>
              </w:rPr>
              <w:t xml:space="preserve"> </w:t>
            </w:r>
          </w:p>
        </w:tc>
      </w:tr>
    </w:tbl>
    <w:p w14:paraId="4C46FA0E" w14:textId="77777777" w:rsidR="00C94D2D" w:rsidRPr="00C94D2D" w:rsidRDefault="00C94D2D" w:rsidP="00DF12E0">
      <w:pPr>
        <w:spacing w:after="0" w:line="276" w:lineRule="auto"/>
        <w:rPr>
          <w:rFonts w:ascii="Arial" w:hAnsi="Arial" w:cs="Arial"/>
          <w:sz w:val="20"/>
        </w:rPr>
      </w:pPr>
      <w:bookmarkStart w:id="1" w:name="_GoBack"/>
      <w:bookmarkEnd w:id="1"/>
    </w:p>
    <w:sectPr w:rsidR="00C94D2D" w:rsidRPr="00C94D2D" w:rsidSect="002C78EA">
      <w:footerReference w:type="default" r:id="rId12"/>
      <w:pgSz w:w="11906" w:h="16838" w:code="9"/>
      <w:pgMar w:top="1134" w:right="707" w:bottom="1440" w:left="709"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04F9D" w14:textId="77777777" w:rsidR="00FE3236" w:rsidRDefault="00FE3236" w:rsidP="00112D6F">
      <w:pPr>
        <w:spacing w:after="0" w:line="240" w:lineRule="auto"/>
      </w:pPr>
      <w:r>
        <w:separator/>
      </w:r>
    </w:p>
  </w:endnote>
  <w:endnote w:type="continuationSeparator" w:id="0">
    <w:p w14:paraId="23FC6B36" w14:textId="77777777" w:rsidR="00FE3236" w:rsidRDefault="00FE3236"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A5C0" w14:textId="37B6D1E6" w:rsidR="00E26127" w:rsidRPr="00E26127" w:rsidRDefault="00E26127" w:rsidP="00E552F0">
    <w:pPr>
      <w:spacing w:before="240" w:after="0" w:line="276" w:lineRule="auto"/>
      <w:ind w:left="2410" w:right="-561"/>
      <w:jc w:val="center"/>
      <w:rPr>
        <w:rFonts w:ascii="Arial" w:hAnsi="Arial" w:cs="Arial"/>
        <w:color w:val="538135" w:themeColor="accent6" w:themeShade="BF"/>
        <w:sz w:val="24"/>
        <w:szCs w:val="24"/>
      </w:rPr>
    </w:pPr>
    <w:r>
      <w:rPr>
        <w:rFonts w:ascii="Arial" w:hAnsi="Arial" w:cs="Arial"/>
        <w:b/>
        <w:color w:val="538135" w:themeColor="accent6" w:themeShade="BF"/>
        <w:sz w:val="24"/>
        <w:szCs w:val="24"/>
      </w:rPr>
      <w:t xml:space="preserve">   </w:t>
    </w:r>
  </w:p>
  <w:p w14:paraId="6A4586FF" w14:textId="77777777" w:rsidR="00112D6F" w:rsidRDefault="00112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369C3" w14:textId="77777777" w:rsidR="00FE3236" w:rsidRDefault="00FE3236" w:rsidP="00112D6F">
      <w:pPr>
        <w:spacing w:after="0" w:line="240" w:lineRule="auto"/>
      </w:pPr>
      <w:r>
        <w:separator/>
      </w:r>
    </w:p>
  </w:footnote>
  <w:footnote w:type="continuationSeparator" w:id="0">
    <w:p w14:paraId="660DF4C3" w14:textId="77777777" w:rsidR="00FE3236" w:rsidRDefault="00FE3236" w:rsidP="00112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86D30"/>
    <w:multiLevelType w:val="hybridMultilevel"/>
    <w:tmpl w:val="2B689194"/>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3391ECF"/>
    <w:multiLevelType w:val="hybridMultilevel"/>
    <w:tmpl w:val="00680136"/>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CEF0463"/>
    <w:multiLevelType w:val="hybridMultilevel"/>
    <w:tmpl w:val="093204F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513B7F85"/>
    <w:multiLevelType w:val="hybridMultilevel"/>
    <w:tmpl w:val="C4EE5ADC"/>
    <w:lvl w:ilvl="0" w:tplc="2B1E8F7A">
      <w:start w:val="1"/>
      <w:numFmt w:val="bullet"/>
      <w:lvlText w:val=""/>
      <w:lvlJc w:val="left"/>
      <w:pPr>
        <w:ind w:left="2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C090003">
      <w:start w:val="1"/>
      <w:numFmt w:val="bullet"/>
      <w:lvlText w:val="o"/>
      <w:lvlJc w:val="left"/>
      <w:pPr>
        <w:ind w:left="1273" w:hanging="360"/>
      </w:pPr>
      <w:rPr>
        <w:rFonts w:ascii="Courier New" w:hAnsi="Courier New" w:cs="Courier New" w:hint="default"/>
      </w:rPr>
    </w:lvl>
    <w:lvl w:ilvl="2" w:tplc="1C090005" w:tentative="1">
      <w:start w:val="1"/>
      <w:numFmt w:val="bullet"/>
      <w:lvlText w:val=""/>
      <w:lvlJc w:val="left"/>
      <w:pPr>
        <w:ind w:left="1993" w:hanging="360"/>
      </w:pPr>
      <w:rPr>
        <w:rFonts w:ascii="Wingdings" w:hAnsi="Wingdings" w:hint="default"/>
      </w:rPr>
    </w:lvl>
    <w:lvl w:ilvl="3" w:tplc="1C090001" w:tentative="1">
      <w:start w:val="1"/>
      <w:numFmt w:val="bullet"/>
      <w:lvlText w:val=""/>
      <w:lvlJc w:val="left"/>
      <w:pPr>
        <w:ind w:left="2713" w:hanging="360"/>
      </w:pPr>
      <w:rPr>
        <w:rFonts w:ascii="Symbol" w:hAnsi="Symbol" w:hint="default"/>
      </w:rPr>
    </w:lvl>
    <w:lvl w:ilvl="4" w:tplc="1C090003" w:tentative="1">
      <w:start w:val="1"/>
      <w:numFmt w:val="bullet"/>
      <w:lvlText w:val="o"/>
      <w:lvlJc w:val="left"/>
      <w:pPr>
        <w:ind w:left="3433" w:hanging="360"/>
      </w:pPr>
      <w:rPr>
        <w:rFonts w:ascii="Courier New" w:hAnsi="Courier New" w:cs="Courier New" w:hint="default"/>
      </w:rPr>
    </w:lvl>
    <w:lvl w:ilvl="5" w:tplc="1C090005" w:tentative="1">
      <w:start w:val="1"/>
      <w:numFmt w:val="bullet"/>
      <w:lvlText w:val=""/>
      <w:lvlJc w:val="left"/>
      <w:pPr>
        <w:ind w:left="4153" w:hanging="360"/>
      </w:pPr>
      <w:rPr>
        <w:rFonts w:ascii="Wingdings" w:hAnsi="Wingdings" w:hint="default"/>
      </w:rPr>
    </w:lvl>
    <w:lvl w:ilvl="6" w:tplc="1C090001" w:tentative="1">
      <w:start w:val="1"/>
      <w:numFmt w:val="bullet"/>
      <w:lvlText w:val=""/>
      <w:lvlJc w:val="left"/>
      <w:pPr>
        <w:ind w:left="4873" w:hanging="360"/>
      </w:pPr>
      <w:rPr>
        <w:rFonts w:ascii="Symbol" w:hAnsi="Symbol" w:hint="default"/>
      </w:rPr>
    </w:lvl>
    <w:lvl w:ilvl="7" w:tplc="1C090003" w:tentative="1">
      <w:start w:val="1"/>
      <w:numFmt w:val="bullet"/>
      <w:lvlText w:val="o"/>
      <w:lvlJc w:val="left"/>
      <w:pPr>
        <w:ind w:left="5593" w:hanging="360"/>
      </w:pPr>
      <w:rPr>
        <w:rFonts w:ascii="Courier New" w:hAnsi="Courier New" w:cs="Courier New" w:hint="default"/>
      </w:rPr>
    </w:lvl>
    <w:lvl w:ilvl="8" w:tplc="1C090005" w:tentative="1">
      <w:start w:val="1"/>
      <w:numFmt w:val="bullet"/>
      <w:lvlText w:val=""/>
      <w:lvlJc w:val="left"/>
      <w:pPr>
        <w:ind w:left="6313" w:hanging="360"/>
      </w:pPr>
      <w:rPr>
        <w:rFonts w:ascii="Wingdings" w:hAnsi="Wingdings" w:hint="default"/>
      </w:rPr>
    </w:lvl>
  </w:abstractNum>
  <w:abstractNum w:abstractNumId="4"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A62F31"/>
    <w:multiLevelType w:val="hybridMultilevel"/>
    <w:tmpl w:val="4A923A08"/>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6F"/>
    <w:rsid w:val="00112D6F"/>
    <w:rsid w:val="00113658"/>
    <w:rsid w:val="002C78EA"/>
    <w:rsid w:val="00326C26"/>
    <w:rsid w:val="00A865B5"/>
    <w:rsid w:val="00BA6C33"/>
    <w:rsid w:val="00C94D2D"/>
    <w:rsid w:val="00CE73EE"/>
    <w:rsid w:val="00D84300"/>
    <w:rsid w:val="00DF12E0"/>
    <w:rsid w:val="00E26127"/>
    <w:rsid w:val="00E552F0"/>
    <w:rsid w:val="00F7503C"/>
    <w:rsid w:val="00FE32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C338"/>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D2D"/>
  </w:style>
  <w:style w:type="paragraph" w:styleId="Heading1">
    <w:name w:val="heading 1"/>
    <w:basedOn w:val="Normal"/>
    <w:next w:val="Normal"/>
    <w:link w:val="Heading1Char"/>
    <w:uiPriority w:val="9"/>
    <w:qFormat/>
    <w:rsid w:val="00E26127"/>
    <w:pPr>
      <w:keepNext/>
      <w:keepLines/>
      <w:numPr>
        <w:numId w:val="1"/>
      </w:numPr>
      <w:spacing w:after="360" w:line="276" w:lineRule="auto"/>
      <w:outlineLvl w:val="0"/>
    </w:pPr>
    <w:rPr>
      <w:rFonts w:ascii="Arial" w:eastAsiaTheme="majorEastAsia" w:hAnsi="Arial"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ind w:hanging="792"/>
      <w:jc w:val="both"/>
      <w:outlineLvl w:val="1"/>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C94D2D"/>
    <w:rPr>
      <w:color w:val="0563C1" w:themeColor="hyperlink"/>
      <w:u w:val="single"/>
    </w:rPr>
  </w:style>
  <w:style w:type="table" w:styleId="TableGrid">
    <w:name w:val="Table Grid"/>
    <w:basedOn w:val="TableNormal"/>
    <w:uiPriority w:val="39"/>
    <w:rsid w:val="00DF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sa.gov.za/publications/Report-03-01-59/Report-03-01-5920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oliswan@statssa.gov.za" TargetMode="External"/><Relationship Id="rId5" Type="http://schemas.openxmlformats.org/officeDocument/2006/relationships/footnotes" Target="footnotes.xml"/><Relationship Id="rId10" Type="http://schemas.openxmlformats.org/officeDocument/2006/relationships/hyperlink" Target="mailto:SimmiP@dsd.gov.za" TargetMode="External"/><Relationship Id="rId4" Type="http://schemas.openxmlformats.org/officeDocument/2006/relationships/webSettings" Target="webSettings.xml"/><Relationship Id="rId9" Type="http://schemas.openxmlformats.org/officeDocument/2006/relationships/hyperlink" Target="file:///C:\Users\LidiaP\Documents\ADVOCACY\DRAM\DRAM2019\Information\Loose%20Flyers\cs2016.statssa.gov.za%20&#8250;%202018\07%20&#8250;%20CS-2016-Disability-Report_-03-01-2320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Lidia Pretorius</cp:lastModifiedBy>
  <cp:revision>4</cp:revision>
  <dcterms:created xsi:type="dcterms:W3CDTF">2019-10-26T14:09:00Z</dcterms:created>
  <dcterms:modified xsi:type="dcterms:W3CDTF">2019-10-31T17:38:00Z</dcterms:modified>
</cp:coreProperties>
</file>